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9573" w:type="dxa"/>
        <w:tblLook w:val="04A0" w:firstRow="1" w:lastRow="0" w:firstColumn="1" w:lastColumn="0" w:noHBand="0" w:noVBand="1"/>
      </w:tblPr>
      <w:tblGrid>
        <w:gridCol w:w="1957"/>
        <w:gridCol w:w="5317"/>
        <w:gridCol w:w="2299"/>
      </w:tblGrid>
      <w:tr w:rsidR="006B67EE" w14:paraId="6D6270B6" w14:textId="77777777" w:rsidTr="006B67EE">
        <w:tc>
          <w:tcPr>
            <w:tcW w:w="1526" w:type="dxa"/>
            <w:vMerge w:val="restart"/>
          </w:tcPr>
          <w:p w14:paraId="24DA4175" w14:textId="77777777" w:rsidR="006B67EE" w:rsidRDefault="006B67EE" w:rsidP="006B67EE">
            <w:pPr>
              <w:jc w:val="center"/>
            </w:pPr>
            <w:bookmarkStart w:id="0" w:name="_GoBack"/>
            <w:bookmarkEnd w:id="0"/>
            <w:r>
              <w:t>Uddannelsesudvalg for Biokemikere</w:t>
            </w:r>
          </w:p>
        </w:tc>
        <w:tc>
          <w:tcPr>
            <w:tcW w:w="5602" w:type="dxa"/>
          </w:tcPr>
          <w:p w14:paraId="640DF48D" w14:textId="77777777" w:rsidR="006B67EE" w:rsidRPr="006B67EE" w:rsidRDefault="006B67EE" w:rsidP="006B67EE">
            <w:pPr>
              <w:tabs>
                <w:tab w:val="left" w:pos="4666"/>
              </w:tabs>
              <w:jc w:val="center"/>
              <w:rPr>
                <w:b/>
              </w:rPr>
            </w:pPr>
            <w:r w:rsidRPr="006B67EE">
              <w:rPr>
                <w:b/>
              </w:rPr>
              <w:t>Kompetenceregistreringsskema</w:t>
            </w:r>
          </w:p>
        </w:tc>
        <w:tc>
          <w:tcPr>
            <w:tcW w:w="2445" w:type="dxa"/>
          </w:tcPr>
          <w:p w14:paraId="066BB744" w14:textId="77777777" w:rsidR="006B67EE" w:rsidRDefault="006B67EE">
            <w:r>
              <w:t>Version 1.0</w:t>
            </w:r>
          </w:p>
        </w:tc>
      </w:tr>
      <w:tr w:rsidR="006B67EE" w14:paraId="5DB74177" w14:textId="77777777" w:rsidTr="006B67EE">
        <w:tc>
          <w:tcPr>
            <w:tcW w:w="1526" w:type="dxa"/>
            <w:vMerge/>
          </w:tcPr>
          <w:p w14:paraId="748ADB1E" w14:textId="77777777" w:rsidR="006B67EE" w:rsidRDefault="006B67EE"/>
        </w:tc>
        <w:tc>
          <w:tcPr>
            <w:tcW w:w="5602" w:type="dxa"/>
          </w:tcPr>
          <w:p w14:paraId="0E050869" w14:textId="77777777" w:rsidR="006B67EE" w:rsidRDefault="006B67EE" w:rsidP="006B67EE">
            <w:pPr>
              <w:jc w:val="center"/>
            </w:pPr>
            <w:r>
              <w:t>Specialistuddannelsen for Klinisk Biokemi</w:t>
            </w:r>
          </w:p>
        </w:tc>
        <w:tc>
          <w:tcPr>
            <w:tcW w:w="2445" w:type="dxa"/>
          </w:tcPr>
          <w:p w14:paraId="72205705" w14:textId="3E8FEB48" w:rsidR="006B67EE" w:rsidRDefault="00E81C7A">
            <w:r>
              <w:t xml:space="preserve">Godkendt: </w:t>
            </w:r>
            <w:r w:rsidR="00BB11CA">
              <w:t>17-12-2021</w:t>
            </w:r>
          </w:p>
        </w:tc>
      </w:tr>
    </w:tbl>
    <w:p w14:paraId="5A576CBD" w14:textId="77777777" w:rsidR="00814985" w:rsidRDefault="00814985"/>
    <w:tbl>
      <w:tblPr>
        <w:tblStyle w:val="Tabel-Gitter"/>
        <w:tblW w:w="0" w:type="auto"/>
        <w:tblLook w:val="04A0" w:firstRow="1" w:lastRow="0" w:firstColumn="1" w:lastColumn="0" w:noHBand="0" w:noVBand="1"/>
      </w:tblPr>
      <w:tblGrid>
        <w:gridCol w:w="1505"/>
        <w:gridCol w:w="8101"/>
      </w:tblGrid>
      <w:tr w:rsidR="006B67EE" w14:paraId="761E605B" w14:textId="77777777" w:rsidTr="006B67EE">
        <w:trPr>
          <w:trHeight w:val="262"/>
        </w:trPr>
        <w:tc>
          <w:tcPr>
            <w:tcW w:w="1505" w:type="dxa"/>
          </w:tcPr>
          <w:p w14:paraId="66F367D3" w14:textId="77777777" w:rsidR="006B67EE" w:rsidRDefault="006B67EE">
            <w:r>
              <w:t>Navn:</w:t>
            </w:r>
          </w:p>
        </w:tc>
        <w:tc>
          <w:tcPr>
            <w:tcW w:w="8101" w:type="dxa"/>
          </w:tcPr>
          <w:p w14:paraId="22E2E956" w14:textId="77777777" w:rsidR="006B67EE" w:rsidRDefault="006B67EE"/>
        </w:tc>
      </w:tr>
      <w:tr w:rsidR="006B67EE" w14:paraId="68DC3937" w14:textId="77777777" w:rsidTr="006B67EE">
        <w:trPr>
          <w:trHeight w:val="247"/>
        </w:trPr>
        <w:tc>
          <w:tcPr>
            <w:tcW w:w="1505" w:type="dxa"/>
          </w:tcPr>
          <w:p w14:paraId="06637447" w14:textId="77777777" w:rsidR="006B67EE" w:rsidRDefault="006B67EE">
            <w:r>
              <w:t>Arbejdssted:</w:t>
            </w:r>
          </w:p>
        </w:tc>
        <w:tc>
          <w:tcPr>
            <w:tcW w:w="8101" w:type="dxa"/>
          </w:tcPr>
          <w:p w14:paraId="30708CF4" w14:textId="77777777" w:rsidR="006B67EE" w:rsidRDefault="006B67EE" w:rsidP="006B67EE"/>
        </w:tc>
      </w:tr>
      <w:tr w:rsidR="006B67EE" w14:paraId="0D28401E" w14:textId="77777777" w:rsidTr="006B67EE">
        <w:trPr>
          <w:trHeight w:val="247"/>
        </w:trPr>
        <w:tc>
          <w:tcPr>
            <w:tcW w:w="1505" w:type="dxa"/>
          </w:tcPr>
          <w:p w14:paraId="638BE53F" w14:textId="77777777" w:rsidR="006B67EE" w:rsidRDefault="006B67EE">
            <w:r>
              <w:t>Vejleder:</w:t>
            </w:r>
          </w:p>
        </w:tc>
        <w:tc>
          <w:tcPr>
            <w:tcW w:w="8101" w:type="dxa"/>
          </w:tcPr>
          <w:p w14:paraId="08E67BCE" w14:textId="77777777" w:rsidR="006B67EE" w:rsidRDefault="006B67EE" w:rsidP="006B67EE"/>
        </w:tc>
      </w:tr>
    </w:tbl>
    <w:p w14:paraId="5C306DCD" w14:textId="77777777" w:rsidR="006B67EE" w:rsidRDefault="006B67EE"/>
    <w:p w14:paraId="48F1466F" w14:textId="5AE74642" w:rsidR="006B67EE" w:rsidRDefault="006B67EE">
      <w:r>
        <w:t>Skemaet nedenfor udfyldes med dato og undersk</w:t>
      </w:r>
      <w:r w:rsidR="0038435A">
        <w:t>r</w:t>
      </w:r>
      <w:r>
        <w:t xml:space="preserve">ift fra vejleder, når kompetencen er opnået. Det kan godt være en anden fagligt relevant person, der underskriver kompetencen på vegne af vejleder. </w:t>
      </w:r>
    </w:p>
    <w:p w14:paraId="6B27FEEB" w14:textId="77777777" w:rsidR="006B67EE" w:rsidRDefault="006B67EE">
      <w:pPr>
        <w:rPr>
          <w:b/>
        </w:rPr>
      </w:pPr>
      <w:r>
        <w:rPr>
          <w:b/>
        </w:rPr>
        <w:t>Kompetenceregistrering</w:t>
      </w:r>
    </w:p>
    <w:tbl>
      <w:tblPr>
        <w:tblStyle w:val="Tabel-Gitter"/>
        <w:tblpPr w:leftFromText="141" w:rightFromText="141" w:vertAnchor="text" w:horzAnchor="margin" w:tblpY="91"/>
        <w:tblW w:w="9679" w:type="dxa"/>
        <w:tblLook w:val="04A0" w:firstRow="1" w:lastRow="0" w:firstColumn="1" w:lastColumn="0" w:noHBand="0" w:noVBand="1"/>
      </w:tblPr>
      <w:tblGrid>
        <w:gridCol w:w="7483"/>
        <w:gridCol w:w="770"/>
        <w:gridCol w:w="1426"/>
      </w:tblGrid>
      <w:tr w:rsidR="006B67EE" w14:paraId="0FB3B3F7" w14:textId="77777777" w:rsidTr="00744D91">
        <w:trPr>
          <w:trHeight w:val="1166"/>
        </w:trPr>
        <w:tc>
          <w:tcPr>
            <w:tcW w:w="7483" w:type="dxa"/>
          </w:tcPr>
          <w:p w14:paraId="786B5B1A" w14:textId="77777777" w:rsidR="006B67EE" w:rsidRPr="006B67EE" w:rsidRDefault="006B67EE" w:rsidP="006B67EE">
            <w:pPr>
              <w:ind w:right="-2938"/>
              <w:rPr>
                <w:b/>
                <w:sz w:val="24"/>
                <w:szCs w:val="24"/>
              </w:rPr>
            </w:pPr>
            <w:r w:rsidRPr="006B67EE">
              <w:rPr>
                <w:b/>
                <w:sz w:val="24"/>
                <w:szCs w:val="24"/>
              </w:rPr>
              <w:t>Kompetence</w:t>
            </w:r>
          </w:p>
        </w:tc>
        <w:tc>
          <w:tcPr>
            <w:tcW w:w="770" w:type="dxa"/>
          </w:tcPr>
          <w:p w14:paraId="4992FDA4" w14:textId="77777777" w:rsidR="006B67EE" w:rsidRPr="006B67EE" w:rsidRDefault="006B67EE" w:rsidP="006B67EE">
            <w:pPr>
              <w:rPr>
                <w:b/>
                <w:sz w:val="24"/>
                <w:szCs w:val="24"/>
              </w:rPr>
            </w:pPr>
            <w:r w:rsidRPr="006B67EE">
              <w:rPr>
                <w:b/>
                <w:sz w:val="24"/>
                <w:szCs w:val="24"/>
              </w:rPr>
              <w:t>Dato:</w:t>
            </w:r>
          </w:p>
        </w:tc>
        <w:tc>
          <w:tcPr>
            <w:tcW w:w="1426" w:type="dxa"/>
          </w:tcPr>
          <w:p w14:paraId="27194689" w14:textId="77777777" w:rsidR="006B67EE" w:rsidRPr="006B67EE" w:rsidRDefault="006B67EE" w:rsidP="006B67EE">
            <w:pPr>
              <w:ind w:right="-40"/>
              <w:jc w:val="center"/>
              <w:rPr>
                <w:b/>
                <w:sz w:val="24"/>
                <w:szCs w:val="24"/>
              </w:rPr>
            </w:pPr>
            <w:r w:rsidRPr="006B67EE">
              <w:rPr>
                <w:b/>
                <w:sz w:val="24"/>
                <w:szCs w:val="24"/>
              </w:rPr>
              <w:t>Godkendt af:</w:t>
            </w:r>
          </w:p>
        </w:tc>
      </w:tr>
      <w:tr w:rsidR="006B67EE" w14:paraId="1E5221E6" w14:textId="77777777" w:rsidTr="00744D91">
        <w:trPr>
          <w:trHeight w:val="606"/>
        </w:trPr>
        <w:tc>
          <w:tcPr>
            <w:tcW w:w="7483" w:type="dxa"/>
          </w:tcPr>
          <w:p w14:paraId="7C0BB510" w14:textId="5F1D2273" w:rsidR="006B67EE" w:rsidRDefault="00CB23E0" w:rsidP="00CB23E0">
            <w:r>
              <w:t xml:space="preserve">1. </w:t>
            </w:r>
            <w:r w:rsidR="006B67EE">
              <w:t>Gennemført lokalt introduktionsforløb – varighed 2-4 uger</w:t>
            </w:r>
          </w:p>
        </w:tc>
        <w:tc>
          <w:tcPr>
            <w:tcW w:w="770" w:type="dxa"/>
          </w:tcPr>
          <w:p w14:paraId="682E18B4" w14:textId="77777777" w:rsidR="006B67EE" w:rsidRDefault="006B67EE" w:rsidP="006B67EE"/>
        </w:tc>
        <w:tc>
          <w:tcPr>
            <w:tcW w:w="1426" w:type="dxa"/>
          </w:tcPr>
          <w:p w14:paraId="4B768ED3" w14:textId="77777777" w:rsidR="006B67EE" w:rsidRDefault="006B67EE" w:rsidP="006B67EE"/>
        </w:tc>
      </w:tr>
      <w:tr w:rsidR="006B67EE" w14:paraId="78A0BA22" w14:textId="77777777" w:rsidTr="00744D91">
        <w:trPr>
          <w:trHeight w:val="606"/>
        </w:trPr>
        <w:tc>
          <w:tcPr>
            <w:tcW w:w="7483" w:type="dxa"/>
          </w:tcPr>
          <w:p w14:paraId="4FEB47F3" w14:textId="3927835E" w:rsidR="006B67EE" w:rsidRDefault="00CB23E0" w:rsidP="006B67EE">
            <w:r>
              <w:t xml:space="preserve">2. </w:t>
            </w:r>
            <w:r w:rsidR="006B67EE">
              <w:t>Gennemført analysevalidering inklusiv udfærdigelse af en valideringsrapport</w:t>
            </w:r>
          </w:p>
        </w:tc>
        <w:tc>
          <w:tcPr>
            <w:tcW w:w="770" w:type="dxa"/>
          </w:tcPr>
          <w:p w14:paraId="1034157D" w14:textId="77777777" w:rsidR="006B67EE" w:rsidRDefault="006B67EE" w:rsidP="006B67EE"/>
        </w:tc>
        <w:tc>
          <w:tcPr>
            <w:tcW w:w="1426" w:type="dxa"/>
          </w:tcPr>
          <w:p w14:paraId="39291894" w14:textId="77777777" w:rsidR="006B67EE" w:rsidRDefault="006B67EE" w:rsidP="006B67EE"/>
        </w:tc>
      </w:tr>
      <w:tr w:rsidR="006B67EE" w14:paraId="1BF11933" w14:textId="77777777" w:rsidTr="00744D91">
        <w:trPr>
          <w:trHeight w:val="606"/>
        </w:trPr>
        <w:tc>
          <w:tcPr>
            <w:tcW w:w="7483" w:type="dxa"/>
          </w:tcPr>
          <w:p w14:paraId="4911986C" w14:textId="4813B1FB" w:rsidR="006B67EE" w:rsidRDefault="00CB23E0" w:rsidP="006B67EE">
            <w:r>
              <w:t xml:space="preserve">3. </w:t>
            </w:r>
            <w:r w:rsidR="006B67EE">
              <w:t>Opsat et kvalitetssikringssystem/kvalitetskontroller for analyse(r)</w:t>
            </w:r>
          </w:p>
        </w:tc>
        <w:tc>
          <w:tcPr>
            <w:tcW w:w="770" w:type="dxa"/>
          </w:tcPr>
          <w:p w14:paraId="43113AA1" w14:textId="77777777" w:rsidR="006B67EE" w:rsidRDefault="006B67EE" w:rsidP="006B67EE"/>
        </w:tc>
        <w:tc>
          <w:tcPr>
            <w:tcW w:w="1426" w:type="dxa"/>
          </w:tcPr>
          <w:p w14:paraId="070312B3" w14:textId="77777777" w:rsidR="006B67EE" w:rsidRDefault="006B67EE" w:rsidP="006B67EE"/>
        </w:tc>
      </w:tr>
      <w:tr w:rsidR="006B67EE" w14:paraId="574845D1" w14:textId="77777777" w:rsidTr="00744D91">
        <w:trPr>
          <w:trHeight w:val="606"/>
        </w:trPr>
        <w:tc>
          <w:tcPr>
            <w:tcW w:w="7483" w:type="dxa"/>
          </w:tcPr>
          <w:p w14:paraId="0B606789" w14:textId="257F8789" w:rsidR="006B67EE" w:rsidRDefault="00CB23E0" w:rsidP="006B67EE">
            <w:r>
              <w:t xml:space="preserve">4. </w:t>
            </w:r>
            <w:r w:rsidR="005842D3">
              <w:t>Brug og håndtering</w:t>
            </w:r>
            <w:r w:rsidR="006B67EE">
              <w:t xml:space="preserve"> af interne kontrolsystemer (IQC, daglige kontroller, lign)</w:t>
            </w:r>
          </w:p>
        </w:tc>
        <w:tc>
          <w:tcPr>
            <w:tcW w:w="770" w:type="dxa"/>
          </w:tcPr>
          <w:p w14:paraId="0C70BA7B" w14:textId="77777777" w:rsidR="006B67EE" w:rsidRDefault="006B67EE" w:rsidP="006B67EE"/>
        </w:tc>
        <w:tc>
          <w:tcPr>
            <w:tcW w:w="1426" w:type="dxa"/>
          </w:tcPr>
          <w:p w14:paraId="5BAEADA4" w14:textId="77777777" w:rsidR="006B67EE" w:rsidRDefault="006B67EE" w:rsidP="006B67EE"/>
        </w:tc>
      </w:tr>
      <w:tr w:rsidR="006B67EE" w14:paraId="4C841E1A" w14:textId="77777777" w:rsidTr="00744D91">
        <w:trPr>
          <w:trHeight w:val="606"/>
        </w:trPr>
        <w:tc>
          <w:tcPr>
            <w:tcW w:w="7483" w:type="dxa"/>
          </w:tcPr>
          <w:p w14:paraId="0AAB4995" w14:textId="16AE24D7" w:rsidR="006B67EE" w:rsidRDefault="00CB23E0" w:rsidP="005842D3">
            <w:r>
              <w:t xml:space="preserve">5. </w:t>
            </w:r>
            <w:r w:rsidR="005842D3">
              <w:t>Brug og håndtering</w:t>
            </w:r>
            <w:r w:rsidR="006B67EE">
              <w:t xml:space="preserve"> af eksterne kontrolsystemer (EQA programmer)</w:t>
            </w:r>
          </w:p>
        </w:tc>
        <w:tc>
          <w:tcPr>
            <w:tcW w:w="770" w:type="dxa"/>
          </w:tcPr>
          <w:p w14:paraId="683286C2" w14:textId="77777777" w:rsidR="006B67EE" w:rsidRDefault="006B67EE" w:rsidP="006B67EE"/>
        </w:tc>
        <w:tc>
          <w:tcPr>
            <w:tcW w:w="1426" w:type="dxa"/>
          </w:tcPr>
          <w:p w14:paraId="7568B211" w14:textId="77777777" w:rsidR="006B67EE" w:rsidRDefault="006B67EE" w:rsidP="006B67EE"/>
        </w:tc>
      </w:tr>
      <w:tr w:rsidR="006B67EE" w14:paraId="7E81779C" w14:textId="77777777" w:rsidTr="00744D91">
        <w:trPr>
          <w:trHeight w:val="606"/>
        </w:trPr>
        <w:tc>
          <w:tcPr>
            <w:tcW w:w="7483" w:type="dxa"/>
          </w:tcPr>
          <w:p w14:paraId="0383A2E4" w14:textId="5CADB644" w:rsidR="006B67EE" w:rsidRDefault="00CB23E0" w:rsidP="006B67EE">
            <w:r>
              <w:t xml:space="preserve">6. </w:t>
            </w:r>
            <w:r w:rsidR="006B67EE">
              <w:t>Vejledning af kolleger (eks. instrument brug, svarafgivelse, monitorering af kontroller oa.)</w:t>
            </w:r>
          </w:p>
        </w:tc>
        <w:tc>
          <w:tcPr>
            <w:tcW w:w="770" w:type="dxa"/>
          </w:tcPr>
          <w:p w14:paraId="6C0CB754" w14:textId="77777777" w:rsidR="006B67EE" w:rsidRDefault="006B67EE" w:rsidP="006B67EE"/>
        </w:tc>
        <w:tc>
          <w:tcPr>
            <w:tcW w:w="1426" w:type="dxa"/>
          </w:tcPr>
          <w:p w14:paraId="3EE1FBB0" w14:textId="77777777" w:rsidR="006B67EE" w:rsidRDefault="006B67EE" w:rsidP="006B67EE"/>
        </w:tc>
      </w:tr>
      <w:tr w:rsidR="006B67EE" w14:paraId="3DE97D39" w14:textId="77777777" w:rsidTr="00744D91">
        <w:trPr>
          <w:trHeight w:val="606"/>
        </w:trPr>
        <w:tc>
          <w:tcPr>
            <w:tcW w:w="7483" w:type="dxa"/>
          </w:tcPr>
          <w:p w14:paraId="47D6925C" w14:textId="35566D23" w:rsidR="006B67EE" w:rsidRDefault="00CB23E0" w:rsidP="006B67EE">
            <w:r>
              <w:t xml:space="preserve">7. </w:t>
            </w:r>
            <w:r w:rsidR="006B67EE">
              <w:t>Undervisning internt i afdelingen og/eller eksternt</w:t>
            </w:r>
          </w:p>
        </w:tc>
        <w:tc>
          <w:tcPr>
            <w:tcW w:w="770" w:type="dxa"/>
          </w:tcPr>
          <w:p w14:paraId="0DB9A27A" w14:textId="77777777" w:rsidR="006B67EE" w:rsidRDefault="006B67EE" w:rsidP="006B67EE"/>
        </w:tc>
        <w:tc>
          <w:tcPr>
            <w:tcW w:w="1426" w:type="dxa"/>
          </w:tcPr>
          <w:p w14:paraId="259AC7A3" w14:textId="77777777" w:rsidR="006B67EE" w:rsidRDefault="006B67EE" w:rsidP="006B67EE"/>
        </w:tc>
      </w:tr>
      <w:tr w:rsidR="006B67EE" w14:paraId="0BDE4D8D" w14:textId="77777777" w:rsidTr="00744D91">
        <w:trPr>
          <w:trHeight w:val="606"/>
        </w:trPr>
        <w:tc>
          <w:tcPr>
            <w:tcW w:w="7483" w:type="dxa"/>
          </w:tcPr>
          <w:p w14:paraId="4175D8B6" w14:textId="24D81B5C" w:rsidR="006B67EE" w:rsidRDefault="00CB23E0" w:rsidP="006B67EE">
            <w:r>
              <w:t xml:space="preserve">8. </w:t>
            </w:r>
            <w:r w:rsidR="006B67EE">
              <w:t>Etablering af et eller flere specialistområder, hvor man har fagligt ansvar</w:t>
            </w:r>
          </w:p>
        </w:tc>
        <w:tc>
          <w:tcPr>
            <w:tcW w:w="770" w:type="dxa"/>
          </w:tcPr>
          <w:p w14:paraId="61079243" w14:textId="77777777" w:rsidR="006B67EE" w:rsidRDefault="006B67EE" w:rsidP="006B67EE"/>
        </w:tc>
        <w:tc>
          <w:tcPr>
            <w:tcW w:w="1426" w:type="dxa"/>
          </w:tcPr>
          <w:p w14:paraId="7A82ED80" w14:textId="77777777" w:rsidR="006B67EE" w:rsidRDefault="006B67EE" w:rsidP="006B67EE"/>
        </w:tc>
      </w:tr>
      <w:tr w:rsidR="006B67EE" w14:paraId="787433A2" w14:textId="77777777" w:rsidTr="00744D91">
        <w:trPr>
          <w:trHeight w:val="606"/>
        </w:trPr>
        <w:tc>
          <w:tcPr>
            <w:tcW w:w="7483" w:type="dxa"/>
          </w:tcPr>
          <w:p w14:paraId="6A51CC0C" w14:textId="17B00634" w:rsidR="006B67EE" w:rsidRDefault="00CB23E0" w:rsidP="006B67EE">
            <w:r>
              <w:t xml:space="preserve">9. </w:t>
            </w:r>
            <w:r w:rsidR="006B67EE">
              <w:t>Faglig ledelse (anden ledelse hvis muligt)</w:t>
            </w:r>
          </w:p>
        </w:tc>
        <w:tc>
          <w:tcPr>
            <w:tcW w:w="770" w:type="dxa"/>
          </w:tcPr>
          <w:p w14:paraId="5F0DE08B" w14:textId="77777777" w:rsidR="006B67EE" w:rsidRDefault="006B67EE" w:rsidP="006B67EE"/>
        </w:tc>
        <w:tc>
          <w:tcPr>
            <w:tcW w:w="1426" w:type="dxa"/>
          </w:tcPr>
          <w:p w14:paraId="326C1BD3" w14:textId="77777777" w:rsidR="006B67EE" w:rsidRDefault="006B67EE" w:rsidP="006B67EE"/>
        </w:tc>
      </w:tr>
      <w:tr w:rsidR="006B67EE" w14:paraId="508DD7AC" w14:textId="77777777" w:rsidTr="00744D91">
        <w:trPr>
          <w:trHeight w:val="606"/>
        </w:trPr>
        <w:tc>
          <w:tcPr>
            <w:tcW w:w="7483" w:type="dxa"/>
          </w:tcPr>
          <w:p w14:paraId="1CEDC0B8" w14:textId="32421175" w:rsidR="006B67EE" w:rsidRDefault="00CB23E0" w:rsidP="0038435A">
            <w:r>
              <w:t xml:space="preserve">10. </w:t>
            </w:r>
            <w:r w:rsidR="0038435A">
              <w:t>Klinisk træning/kontakt</w:t>
            </w:r>
          </w:p>
        </w:tc>
        <w:tc>
          <w:tcPr>
            <w:tcW w:w="770" w:type="dxa"/>
          </w:tcPr>
          <w:p w14:paraId="680717DA" w14:textId="77777777" w:rsidR="006B67EE" w:rsidRDefault="006B67EE" w:rsidP="006B67EE"/>
        </w:tc>
        <w:tc>
          <w:tcPr>
            <w:tcW w:w="1426" w:type="dxa"/>
          </w:tcPr>
          <w:p w14:paraId="732AEB32" w14:textId="77777777" w:rsidR="006B67EE" w:rsidRDefault="006B67EE" w:rsidP="006B67EE"/>
        </w:tc>
      </w:tr>
      <w:tr w:rsidR="006B67EE" w14:paraId="2E88FA58" w14:textId="77777777" w:rsidTr="00744D91">
        <w:trPr>
          <w:trHeight w:val="606"/>
        </w:trPr>
        <w:tc>
          <w:tcPr>
            <w:tcW w:w="7483" w:type="dxa"/>
          </w:tcPr>
          <w:p w14:paraId="6C97BAB9" w14:textId="7F8D3D9D" w:rsidR="006B67EE" w:rsidRDefault="00CB23E0" w:rsidP="006B67EE">
            <w:r>
              <w:t xml:space="preserve">11. </w:t>
            </w:r>
            <w:r w:rsidR="006B67EE">
              <w:t>Præsentation af videnskabelige resultater (poster/præsentation på kongres/konference)</w:t>
            </w:r>
          </w:p>
        </w:tc>
        <w:tc>
          <w:tcPr>
            <w:tcW w:w="770" w:type="dxa"/>
          </w:tcPr>
          <w:p w14:paraId="13E331DD" w14:textId="77777777" w:rsidR="006B67EE" w:rsidRDefault="006B67EE" w:rsidP="006B67EE"/>
        </w:tc>
        <w:tc>
          <w:tcPr>
            <w:tcW w:w="1426" w:type="dxa"/>
          </w:tcPr>
          <w:p w14:paraId="0DFC9912" w14:textId="77777777" w:rsidR="006B67EE" w:rsidRDefault="006B67EE" w:rsidP="006B67EE"/>
        </w:tc>
      </w:tr>
      <w:tr w:rsidR="006B67EE" w14:paraId="420046B8" w14:textId="77777777" w:rsidTr="00744D91">
        <w:trPr>
          <w:trHeight w:val="606"/>
        </w:trPr>
        <w:tc>
          <w:tcPr>
            <w:tcW w:w="7483" w:type="dxa"/>
          </w:tcPr>
          <w:p w14:paraId="57F8BB4A" w14:textId="6D4EC4E7" w:rsidR="006B67EE" w:rsidRDefault="00CB23E0" w:rsidP="006B67EE">
            <w:r>
              <w:t xml:space="preserve">12. </w:t>
            </w:r>
            <w:r w:rsidR="006B67EE">
              <w:t>Projektledelse (udvikling og/eller forskning)</w:t>
            </w:r>
          </w:p>
        </w:tc>
        <w:tc>
          <w:tcPr>
            <w:tcW w:w="770" w:type="dxa"/>
          </w:tcPr>
          <w:p w14:paraId="7C35DDFF" w14:textId="77777777" w:rsidR="006B67EE" w:rsidRDefault="006B67EE" w:rsidP="006B67EE"/>
        </w:tc>
        <w:tc>
          <w:tcPr>
            <w:tcW w:w="1426" w:type="dxa"/>
          </w:tcPr>
          <w:p w14:paraId="399270DB" w14:textId="77777777" w:rsidR="006B67EE" w:rsidRDefault="006B67EE" w:rsidP="006B67EE"/>
        </w:tc>
      </w:tr>
      <w:tr w:rsidR="00E93777" w14:paraId="31BCC521" w14:textId="77777777" w:rsidTr="00744D91">
        <w:trPr>
          <w:trHeight w:val="606"/>
        </w:trPr>
        <w:tc>
          <w:tcPr>
            <w:tcW w:w="7483" w:type="dxa"/>
          </w:tcPr>
          <w:p w14:paraId="1FA5CD6C" w14:textId="5AAF872E" w:rsidR="00E93777" w:rsidRDefault="00CB23E0" w:rsidP="006B67EE">
            <w:r>
              <w:t xml:space="preserve">13. </w:t>
            </w:r>
            <w:r w:rsidR="00E93777">
              <w:t>Videnskabelig(e) publikation(er)</w:t>
            </w:r>
          </w:p>
        </w:tc>
        <w:tc>
          <w:tcPr>
            <w:tcW w:w="770" w:type="dxa"/>
          </w:tcPr>
          <w:p w14:paraId="36C67423" w14:textId="77777777" w:rsidR="00E93777" w:rsidRDefault="00E93777" w:rsidP="006B67EE"/>
        </w:tc>
        <w:tc>
          <w:tcPr>
            <w:tcW w:w="1426" w:type="dxa"/>
          </w:tcPr>
          <w:p w14:paraId="76623CA0" w14:textId="77777777" w:rsidR="00E93777" w:rsidRDefault="00E93777" w:rsidP="006B67EE"/>
        </w:tc>
      </w:tr>
      <w:tr w:rsidR="00CB23E0" w14:paraId="1C3A6E5B" w14:textId="77777777" w:rsidTr="00744D91">
        <w:trPr>
          <w:trHeight w:val="606"/>
        </w:trPr>
        <w:tc>
          <w:tcPr>
            <w:tcW w:w="7483" w:type="dxa"/>
          </w:tcPr>
          <w:p w14:paraId="3CC1D4F4" w14:textId="0908EBB1" w:rsidR="00CB23E0" w:rsidRDefault="00CB23E0" w:rsidP="006B67EE">
            <w:r>
              <w:lastRenderedPageBreak/>
              <w:t>14. Case-relateret medicinsk evaluering af laboratorietests</w:t>
            </w:r>
          </w:p>
        </w:tc>
        <w:tc>
          <w:tcPr>
            <w:tcW w:w="770" w:type="dxa"/>
          </w:tcPr>
          <w:p w14:paraId="731376DE" w14:textId="77777777" w:rsidR="00CB23E0" w:rsidRDefault="00CB23E0" w:rsidP="006B67EE"/>
        </w:tc>
        <w:tc>
          <w:tcPr>
            <w:tcW w:w="1426" w:type="dxa"/>
          </w:tcPr>
          <w:p w14:paraId="4CC427DF" w14:textId="77777777" w:rsidR="00CB23E0" w:rsidRDefault="00CB23E0" w:rsidP="006B67EE"/>
        </w:tc>
      </w:tr>
      <w:tr w:rsidR="0083512F" w14:paraId="4994C621" w14:textId="77777777" w:rsidTr="00744D91">
        <w:trPr>
          <w:trHeight w:val="606"/>
        </w:trPr>
        <w:tc>
          <w:tcPr>
            <w:tcW w:w="7483" w:type="dxa"/>
          </w:tcPr>
          <w:p w14:paraId="371362A7" w14:textId="6235FEFC" w:rsidR="0083512F" w:rsidRDefault="0083512F" w:rsidP="006B67EE">
            <w:r>
              <w:t>1</w:t>
            </w:r>
            <w:r w:rsidR="0038435A">
              <w:t>5</w:t>
            </w:r>
            <w:r>
              <w:t>. Erfaring med auditering</w:t>
            </w:r>
          </w:p>
        </w:tc>
        <w:tc>
          <w:tcPr>
            <w:tcW w:w="770" w:type="dxa"/>
          </w:tcPr>
          <w:p w14:paraId="7DBC7F39" w14:textId="77777777" w:rsidR="0083512F" w:rsidRDefault="0083512F" w:rsidP="006B67EE"/>
        </w:tc>
        <w:tc>
          <w:tcPr>
            <w:tcW w:w="1426" w:type="dxa"/>
          </w:tcPr>
          <w:p w14:paraId="4369B6C0" w14:textId="77777777" w:rsidR="0083512F" w:rsidRDefault="0083512F" w:rsidP="006B67EE"/>
        </w:tc>
      </w:tr>
      <w:tr w:rsidR="0083512F" w14:paraId="6ED602FC" w14:textId="77777777" w:rsidTr="00744D91">
        <w:trPr>
          <w:trHeight w:val="606"/>
        </w:trPr>
        <w:tc>
          <w:tcPr>
            <w:tcW w:w="7483" w:type="dxa"/>
          </w:tcPr>
          <w:p w14:paraId="2CB430B8" w14:textId="4C83F9B7" w:rsidR="0083512F" w:rsidRDefault="0083512F" w:rsidP="006B67EE">
            <w:r>
              <w:t>1</w:t>
            </w:r>
            <w:r w:rsidR="0038435A">
              <w:t>6</w:t>
            </w:r>
            <w:r>
              <w:t xml:space="preserve">. Erfaring med udarbejdelse/validering/evaluering af referenceintervaller </w:t>
            </w:r>
          </w:p>
        </w:tc>
        <w:tc>
          <w:tcPr>
            <w:tcW w:w="770" w:type="dxa"/>
          </w:tcPr>
          <w:p w14:paraId="17BDD08C" w14:textId="77777777" w:rsidR="0083512F" w:rsidRDefault="0083512F" w:rsidP="006B67EE"/>
        </w:tc>
        <w:tc>
          <w:tcPr>
            <w:tcW w:w="1426" w:type="dxa"/>
          </w:tcPr>
          <w:p w14:paraId="67F64C32" w14:textId="77777777" w:rsidR="0083512F" w:rsidRDefault="0083512F" w:rsidP="006B67EE"/>
        </w:tc>
      </w:tr>
      <w:tr w:rsidR="0083512F" w14:paraId="5D85F10D" w14:textId="77777777" w:rsidTr="00744D91">
        <w:trPr>
          <w:trHeight w:val="606"/>
        </w:trPr>
        <w:tc>
          <w:tcPr>
            <w:tcW w:w="7483" w:type="dxa"/>
          </w:tcPr>
          <w:p w14:paraId="5FCF123B" w14:textId="7E0FB818" w:rsidR="0083512F" w:rsidRDefault="0083512F" w:rsidP="006B67EE">
            <w:r>
              <w:t>1</w:t>
            </w:r>
            <w:r w:rsidR="0038435A">
              <w:t>7</w:t>
            </w:r>
            <w:r>
              <w:t>. Erfaring med økonomi omkring drift af analyser</w:t>
            </w:r>
          </w:p>
        </w:tc>
        <w:tc>
          <w:tcPr>
            <w:tcW w:w="770" w:type="dxa"/>
          </w:tcPr>
          <w:p w14:paraId="25FB3B20" w14:textId="77777777" w:rsidR="0083512F" w:rsidRDefault="0083512F" w:rsidP="006B67EE"/>
        </w:tc>
        <w:tc>
          <w:tcPr>
            <w:tcW w:w="1426" w:type="dxa"/>
          </w:tcPr>
          <w:p w14:paraId="3217FE5D" w14:textId="77777777" w:rsidR="0083512F" w:rsidRDefault="0083512F" w:rsidP="006B67EE"/>
        </w:tc>
      </w:tr>
      <w:tr w:rsidR="004B79AC" w14:paraId="261E730C" w14:textId="77777777" w:rsidTr="00744D91">
        <w:trPr>
          <w:trHeight w:val="606"/>
        </w:trPr>
        <w:tc>
          <w:tcPr>
            <w:tcW w:w="7483" w:type="dxa"/>
          </w:tcPr>
          <w:p w14:paraId="3EE2B775" w14:textId="3C167006" w:rsidR="004B79AC" w:rsidRDefault="004B79AC" w:rsidP="006B67EE">
            <w:r>
              <w:t>1</w:t>
            </w:r>
            <w:r w:rsidR="0038435A">
              <w:t>8</w:t>
            </w:r>
            <w:r>
              <w:t>. Håndtering af afvigelser/UTH</w:t>
            </w:r>
          </w:p>
        </w:tc>
        <w:tc>
          <w:tcPr>
            <w:tcW w:w="770" w:type="dxa"/>
          </w:tcPr>
          <w:p w14:paraId="1AA4DBEC" w14:textId="77777777" w:rsidR="004B79AC" w:rsidRDefault="004B79AC" w:rsidP="006B67EE"/>
        </w:tc>
        <w:tc>
          <w:tcPr>
            <w:tcW w:w="1426" w:type="dxa"/>
          </w:tcPr>
          <w:p w14:paraId="4195AD19" w14:textId="77777777" w:rsidR="004B79AC" w:rsidRDefault="004B79AC" w:rsidP="006B67EE"/>
        </w:tc>
      </w:tr>
      <w:tr w:rsidR="002470B1" w14:paraId="225F9E9E" w14:textId="77777777" w:rsidTr="00744D91">
        <w:trPr>
          <w:trHeight w:val="606"/>
        </w:trPr>
        <w:tc>
          <w:tcPr>
            <w:tcW w:w="7483" w:type="dxa"/>
          </w:tcPr>
          <w:p w14:paraId="4FB03456" w14:textId="43D46108" w:rsidR="002470B1" w:rsidRDefault="0038435A" w:rsidP="006B67EE">
            <w:r>
              <w:t>19</w:t>
            </w:r>
            <w:r w:rsidR="002470B1">
              <w:t>. Professionalisme og soft skills</w:t>
            </w:r>
          </w:p>
        </w:tc>
        <w:tc>
          <w:tcPr>
            <w:tcW w:w="770" w:type="dxa"/>
          </w:tcPr>
          <w:p w14:paraId="35D4A714" w14:textId="77777777" w:rsidR="002470B1" w:rsidRDefault="002470B1" w:rsidP="006B67EE"/>
        </w:tc>
        <w:tc>
          <w:tcPr>
            <w:tcW w:w="1426" w:type="dxa"/>
          </w:tcPr>
          <w:p w14:paraId="3A1A69F5" w14:textId="77777777" w:rsidR="002470B1" w:rsidRDefault="002470B1" w:rsidP="006B67EE"/>
        </w:tc>
      </w:tr>
    </w:tbl>
    <w:p w14:paraId="31E35855" w14:textId="0590CB77" w:rsidR="006B67EE" w:rsidRDefault="006B67EE"/>
    <w:p w14:paraId="1EDA3653" w14:textId="68AA35D6" w:rsidR="00CB23E0" w:rsidRPr="00CF45CF" w:rsidRDefault="00CB23E0">
      <w:pPr>
        <w:rPr>
          <w:b/>
        </w:rPr>
      </w:pPr>
      <w:r w:rsidRPr="00CF45CF">
        <w:rPr>
          <w:b/>
        </w:rPr>
        <w:t>Vejledning til kompetenceopnåelse:</w:t>
      </w:r>
    </w:p>
    <w:p w14:paraId="64E04F92" w14:textId="1BC793D7" w:rsidR="00CB23E0" w:rsidRPr="00CF45CF" w:rsidRDefault="00CB23E0" w:rsidP="00CB23E0">
      <w:pPr>
        <w:rPr>
          <w:b/>
        </w:rPr>
      </w:pPr>
      <w:r w:rsidRPr="00CF45CF">
        <w:rPr>
          <w:b/>
        </w:rPr>
        <w:t>1. Lokalt introduktionsforløb</w:t>
      </w:r>
    </w:p>
    <w:p w14:paraId="527F5368" w14:textId="25B1868B" w:rsidR="00CB23E0" w:rsidRDefault="00CB23E0" w:rsidP="00CB23E0">
      <w:r>
        <w:t xml:space="preserve">For at opnå denne kompetence skal der følges et introduktionsforløb af 2-4 ugers varighed. Dette </w:t>
      </w:r>
      <w:r w:rsidR="00D51139">
        <w:t>forløb skal indeholde e</w:t>
      </w:r>
      <w:r>
        <w:t>n introduktion til alle afdelingens områder</w:t>
      </w:r>
      <w:r w:rsidR="00D51139">
        <w:t xml:space="preserve"> f.eks. eksemplificeret ved analysegrupper</w:t>
      </w:r>
      <w:r w:rsidR="00797601">
        <w:t>/analysepladser</w:t>
      </w:r>
      <w:r w:rsidR="00D51139">
        <w:t xml:space="preserve"> eller tilsvarende ansvarsområdefordeling. Derudover skal der være kendskab til den pågældende afdelings dokumentstyringssystem</w:t>
      </w:r>
      <w:r w:rsidR="00BF2047">
        <w:t>.</w:t>
      </w:r>
      <w:r w:rsidR="00D51139">
        <w:t xml:space="preserve"> </w:t>
      </w:r>
    </w:p>
    <w:p w14:paraId="6909E2CA" w14:textId="0082445C" w:rsidR="00D51139" w:rsidRDefault="00D51139" w:rsidP="00CB23E0">
      <w:r>
        <w:t xml:space="preserve">Til brug for introduktionsforløbet kan </w:t>
      </w:r>
      <w:r w:rsidR="00AE73BF">
        <w:t>evt.</w:t>
      </w:r>
      <w:r>
        <w:t xml:space="preserve"> benyttes en skabelon. Se bilag 1.</w:t>
      </w:r>
    </w:p>
    <w:p w14:paraId="077F9D34" w14:textId="35109961" w:rsidR="00D51139" w:rsidRPr="00CF45CF" w:rsidRDefault="00D51139" w:rsidP="00CB23E0">
      <w:pPr>
        <w:rPr>
          <w:b/>
        </w:rPr>
      </w:pPr>
      <w:r w:rsidRPr="00CF45CF">
        <w:rPr>
          <w:b/>
        </w:rPr>
        <w:t>2. Validering</w:t>
      </w:r>
    </w:p>
    <w:p w14:paraId="58D8DF0D" w14:textId="59CA9157" w:rsidR="00D51139" w:rsidRDefault="00D51139" w:rsidP="00CB23E0">
      <w:r>
        <w:t>For at opnå denne kompetence skal der udfærdiges minimum en valideringsrapport inklusiv al databehandling. Valideringen skal indeholde de krav, der er til en validering jf. ISO15189 og DSKBs vejledning</w:t>
      </w:r>
      <w:r w:rsidR="003B25C9">
        <w:t xml:space="preserve"> (</w:t>
      </w:r>
      <w:hyperlink r:id="rId8" w:history="1">
        <w:r w:rsidR="003B25C9">
          <w:rPr>
            <w:rStyle w:val="Hyperlink"/>
          </w:rPr>
          <w:t>FAGLIGE RAPPORTER – DSKB | Dansk Selskab for Klinisk Biokemi</w:t>
        </w:r>
      </w:hyperlink>
      <w:r w:rsidR="003B25C9">
        <w:t xml:space="preserve"> – DSKB-anbefaling til metodevalidering – Retningslinje 6)</w:t>
      </w:r>
      <w:r>
        <w:t>. Kompetencen kan derfor eksempelvis opnås ved at validere en analyse som herefter bliver akkrediteret. Det skal være den pågældende under oplæring</w:t>
      </w:r>
      <w:r w:rsidR="003B25C9">
        <w:t xml:space="preserve"> til specialist,</w:t>
      </w:r>
      <w:r>
        <w:t xml:space="preserve"> der udarbejder hele rapporten samt får den igennem akkreditering.</w:t>
      </w:r>
      <w:r w:rsidR="0083512F">
        <w:t xml:space="preserve"> </w:t>
      </w:r>
    </w:p>
    <w:p w14:paraId="1AA416F2" w14:textId="04E9A821" w:rsidR="00D51139" w:rsidRPr="00CF45CF" w:rsidRDefault="00D51139" w:rsidP="00CB23E0">
      <w:pPr>
        <w:rPr>
          <w:b/>
        </w:rPr>
      </w:pPr>
      <w:r w:rsidRPr="00CF45CF">
        <w:rPr>
          <w:b/>
        </w:rPr>
        <w:t>3. Etablering af kvalitetssikringssystem for minimum to uafhængige analyser/udstyr</w:t>
      </w:r>
      <w:r w:rsidR="00797601" w:rsidRPr="00CF45CF">
        <w:rPr>
          <w:b/>
        </w:rPr>
        <w:t>/analyseprincipper</w:t>
      </w:r>
      <w:r w:rsidRPr="00CF45CF">
        <w:rPr>
          <w:b/>
        </w:rPr>
        <w:t>.</w:t>
      </w:r>
    </w:p>
    <w:p w14:paraId="69D1C4BE" w14:textId="38E05B11" w:rsidR="00D51139" w:rsidRDefault="00D51139" w:rsidP="00CB23E0">
      <w:r>
        <w:t>For at opnå denne kompetence skal det dokumenteres, at der er udfærdiget kvalitetssikring for to forskellige analyser eller to forskellige udstyr. Dette indeholder at der opstilles krav til kvalitetssikringen og at der opsættes et system for intern og ekstern kontrol af de pågældende analyser/udstyr. Dette kan f.eks. dokumenteres ved et kvalitetssikringsdokument tilknyttet</w:t>
      </w:r>
      <w:r w:rsidR="0038435A">
        <w:t xml:space="preserve"> de pågældende analyser</w:t>
      </w:r>
      <w:r>
        <w:t xml:space="preserve"> analyser</w:t>
      </w:r>
      <w:r w:rsidR="00797601">
        <w:t xml:space="preserve"> </w:t>
      </w:r>
      <w:r w:rsidR="0038435A">
        <w:t>eller bekrevet på anden</w:t>
      </w:r>
      <w:r w:rsidR="00BB11CA">
        <w:t xml:space="preserve"> </w:t>
      </w:r>
      <w:r w:rsidR="0038435A">
        <w:t>vis f.eks. valideringsrapport.</w:t>
      </w:r>
    </w:p>
    <w:p w14:paraId="0E113011" w14:textId="026F632C" w:rsidR="00D51139" w:rsidRPr="00CF45CF" w:rsidRDefault="003B25C9" w:rsidP="00CB23E0">
      <w:pPr>
        <w:rPr>
          <w:b/>
        </w:rPr>
      </w:pPr>
      <w:r w:rsidRPr="00CF45CF">
        <w:rPr>
          <w:b/>
        </w:rPr>
        <w:t>4. Anvendelse og behandling af</w:t>
      </w:r>
      <w:r w:rsidR="00D51139" w:rsidRPr="00CF45CF">
        <w:rPr>
          <w:b/>
        </w:rPr>
        <w:t xml:space="preserve"> interne kontroller</w:t>
      </w:r>
      <w:r w:rsidRPr="00CF45CF">
        <w:rPr>
          <w:b/>
        </w:rPr>
        <w:t xml:space="preserve"> herunder relevant kontrolsystem</w:t>
      </w:r>
    </w:p>
    <w:p w14:paraId="6EC5637F" w14:textId="75DA4BC2" w:rsidR="00D51139" w:rsidRDefault="00D51139" w:rsidP="00CB23E0">
      <w:r>
        <w:t>Her skal det dokumenteres, at der er opnået erfaring med vurdering og overvågning af interne kontroller samt handling på kontroller, der falder udenfor. Dette kan f.eks. ske ve</w:t>
      </w:r>
      <w:r w:rsidR="00AB7E84">
        <w:t xml:space="preserve">d </w:t>
      </w:r>
      <w:r w:rsidR="00AE73BF">
        <w:t>logbog</w:t>
      </w:r>
      <w:r w:rsidR="00AB7E84">
        <w:t xml:space="preserve"> på analysepladsen, el</w:t>
      </w:r>
      <w:r>
        <w:t>l</w:t>
      </w:r>
      <w:r w:rsidR="00AB7E84">
        <w:t>e</w:t>
      </w:r>
      <w:r>
        <w:t xml:space="preserve">r anden form for </w:t>
      </w:r>
      <w:r w:rsidR="00AB7E84">
        <w:t>kontrolsystem.</w:t>
      </w:r>
    </w:p>
    <w:p w14:paraId="3072F2A6" w14:textId="7156A527" w:rsidR="00D51139" w:rsidRPr="00CF45CF" w:rsidRDefault="003B25C9" w:rsidP="00CB23E0">
      <w:pPr>
        <w:rPr>
          <w:b/>
        </w:rPr>
      </w:pPr>
      <w:r w:rsidRPr="00CF45CF">
        <w:rPr>
          <w:b/>
        </w:rPr>
        <w:lastRenderedPageBreak/>
        <w:t>5. Anvendelse og vurdering</w:t>
      </w:r>
      <w:r w:rsidR="00D51139" w:rsidRPr="00CF45CF">
        <w:rPr>
          <w:b/>
        </w:rPr>
        <w:t xml:space="preserve"> af eksterne kontroller</w:t>
      </w:r>
      <w:r w:rsidRPr="00CF45CF">
        <w:rPr>
          <w:b/>
        </w:rPr>
        <w:t xml:space="preserve"> herunder rapporter fra programudbydere</w:t>
      </w:r>
    </w:p>
    <w:p w14:paraId="3302F07E" w14:textId="116895F9" w:rsidR="00D51139" w:rsidRDefault="00D51139" w:rsidP="00D51139">
      <w:r>
        <w:t>Her skal det dokumenteres, at der er opnået erfaring med vur</w:t>
      </w:r>
      <w:r w:rsidR="00AB7E84">
        <w:t>dering og overvågning af eksterne</w:t>
      </w:r>
      <w:r>
        <w:t xml:space="preserve"> kontroller samt handling på kontroller, der falder udenfor.</w:t>
      </w:r>
      <w:r w:rsidR="00AB7E84">
        <w:t xml:space="preserve"> Dette kan f.eks. ske ved </w:t>
      </w:r>
      <w:r w:rsidR="00AE73BF">
        <w:t>logbog</w:t>
      </w:r>
      <w:r w:rsidR="00AB7E84">
        <w:t xml:space="preserve"> eller cirkulationslister for eksterne kontroller.</w:t>
      </w:r>
    </w:p>
    <w:p w14:paraId="0C291967" w14:textId="6A8C4B18" w:rsidR="00AB7E84" w:rsidRPr="00CF45CF" w:rsidRDefault="00AB7E84" w:rsidP="00D51139">
      <w:pPr>
        <w:rPr>
          <w:b/>
        </w:rPr>
      </w:pPr>
      <w:r w:rsidRPr="00CF45CF">
        <w:rPr>
          <w:b/>
        </w:rPr>
        <w:t>6. Vejledning</w:t>
      </w:r>
    </w:p>
    <w:p w14:paraId="2329BE73" w14:textId="3FE97303" w:rsidR="00AB7E84" w:rsidRDefault="00AB7E84" w:rsidP="00D51139">
      <w:r>
        <w:t>Denne kompetence opnås f.eks. ved at foretage sidemandsoplæring af kolleger eller vejledning af kolleger. Dette kan være i forhold til kontroller, kontrolsystemer,</w:t>
      </w:r>
      <w:r w:rsidR="00797601">
        <w:t xml:space="preserve"> middleware,</w:t>
      </w:r>
      <w:r>
        <w:t xml:space="preserve"> biologisk baggrund for analyser, svarafgivelse, instrumentbrug, analyseteknik o.a. </w:t>
      </w:r>
      <w:r w:rsidR="00586976">
        <w:t xml:space="preserve">Der skal oplæres/vejledes minimum 1 person i et specialområde/specialkompetence. </w:t>
      </w:r>
      <w:r>
        <w:t>Dette</w:t>
      </w:r>
      <w:r w:rsidR="00797601">
        <w:t xml:space="preserve"> beskrives og</w:t>
      </w:r>
      <w:r>
        <w:t xml:space="preserve"> dokumenteres ved </w:t>
      </w:r>
      <w:r w:rsidR="00AE73BF">
        <w:t>logbog</w:t>
      </w:r>
      <w:r>
        <w:t>/skema. Se bilag 2.</w:t>
      </w:r>
    </w:p>
    <w:p w14:paraId="403C8AD3" w14:textId="32E4CF73" w:rsidR="00AB7E84" w:rsidRPr="00CF45CF" w:rsidRDefault="00AB7E84" w:rsidP="00D51139">
      <w:pPr>
        <w:rPr>
          <w:b/>
        </w:rPr>
      </w:pPr>
      <w:r w:rsidRPr="00CF45CF">
        <w:rPr>
          <w:b/>
        </w:rPr>
        <w:t>7. Undervisning internt i afdelingen og/eller eksternt</w:t>
      </w:r>
    </w:p>
    <w:p w14:paraId="0EF72E8B" w14:textId="3D0467F7" w:rsidR="00AB7E84" w:rsidRDefault="00AB7E84" w:rsidP="00D51139">
      <w:r>
        <w:t>Denne kompetence opnås ved at varetage formel undervisning. Dette kan både være internt i afdelingen</w:t>
      </w:r>
      <w:r w:rsidR="00586976">
        <w:t xml:space="preserve"> f.eks. undervisning af en mindre gruppe,</w:t>
      </w:r>
      <w:r>
        <w:t xml:space="preserve"> men kan også være ekstern undervisning f.eks. på DSKBs biokemikerkurser, universitetet o.a. Dette dokumenteres ved </w:t>
      </w:r>
      <w:r w:rsidR="00AE73BF">
        <w:t>logbog</w:t>
      </w:r>
      <w:r>
        <w:t>/skema. Se bilag 2.</w:t>
      </w:r>
    </w:p>
    <w:p w14:paraId="17D6DABA" w14:textId="1DD744E7" w:rsidR="00AB7E84" w:rsidRPr="00CF45CF" w:rsidRDefault="00AB7E84" w:rsidP="00D51139">
      <w:pPr>
        <w:rPr>
          <w:b/>
        </w:rPr>
      </w:pPr>
      <w:r w:rsidRPr="00CF45CF">
        <w:rPr>
          <w:b/>
        </w:rPr>
        <w:t xml:space="preserve">8. Specialistområde </w:t>
      </w:r>
    </w:p>
    <w:p w14:paraId="3708F4B1" w14:textId="60F94323" w:rsidR="00AB7E84" w:rsidRDefault="00AB7E84" w:rsidP="00D51139">
      <w:r>
        <w:t xml:space="preserve">Denne kompetence opnås, når man har fået ansvar for et eller flere specialistområder. Dette kan </w:t>
      </w:r>
      <w:r w:rsidR="00AE73BF">
        <w:t>f.eks.</w:t>
      </w:r>
      <w:r>
        <w:t xml:space="preserve"> være, at man er ansvarlig for specifikke analyser i forhold til det faglige. Dette må gerne være i dagligt samarbejde omkring driften med en faglig specialist/funktions</w:t>
      </w:r>
      <w:r w:rsidR="00AE73BF">
        <w:t>-</w:t>
      </w:r>
      <w:r>
        <w:t>bioanalytiker/</w:t>
      </w:r>
      <w:r w:rsidR="00586976">
        <w:t>afdelingsbioanalytiker/</w:t>
      </w:r>
      <w:r>
        <w:t xml:space="preserve">superbruger eller tilsvarende. Dette </w:t>
      </w:r>
      <w:r w:rsidR="003A6C64">
        <w:t xml:space="preserve">beskrives og </w:t>
      </w:r>
      <w:r>
        <w:t xml:space="preserve">dokumenteres ved </w:t>
      </w:r>
      <w:r w:rsidR="00AE73BF">
        <w:t>logbog</w:t>
      </w:r>
      <w:r>
        <w:t>/skema. Se bilag 2.</w:t>
      </w:r>
    </w:p>
    <w:p w14:paraId="723ED66B" w14:textId="64EBAF27" w:rsidR="00AB7E84" w:rsidRPr="00CF45CF" w:rsidRDefault="00AB7E84" w:rsidP="00D51139">
      <w:pPr>
        <w:rPr>
          <w:b/>
        </w:rPr>
      </w:pPr>
      <w:r w:rsidRPr="00CF45CF">
        <w:rPr>
          <w:b/>
        </w:rPr>
        <w:t>9. Ledelse</w:t>
      </w:r>
    </w:p>
    <w:p w14:paraId="40AB471B" w14:textId="03CD1059" w:rsidR="00AB7E84" w:rsidRDefault="00AB7E84" w:rsidP="00D51139">
      <w:r>
        <w:t>Denne kompetence kan opnås ved at varetage</w:t>
      </w:r>
      <w:r w:rsidR="0038435A">
        <w:t xml:space="preserve"> relevant</w:t>
      </w:r>
      <w:r>
        <w:t xml:space="preserve"> ledelse. Dette kan f.eks. være faglig ledelse af at ansvarsområde</w:t>
      </w:r>
      <w:r w:rsidR="00586976">
        <w:t>/analysegruppe</w:t>
      </w:r>
      <w:r>
        <w:t xml:space="preserve">, </w:t>
      </w:r>
      <w:r w:rsidR="0083512F">
        <w:t xml:space="preserve">kvalitetsledelse, </w:t>
      </w:r>
      <w:r>
        <w:t xml:space="preserve">deltagelse i ledermøder (hvis muligt), </w:t>
      </w:r>
      <w:r w:rsidR="00D1301A">
        <w:t>styre en analysegruppe/et område, være ansvarlig for mødeledelse, side som formand eller næ</w:t>
      </w:r>
      <w:r w:rsidR="00586976">
        <w:t>stformand i relevante udvalg</w:t>
      </w:r>
      <w:r w:rsidR="00D1301A">
        <w:t xml:space="preserve">, lede en implementeringsproces, </w:t>
      </w:r>
      <w:r w:rsidR="00586976">
        <w:t xml:space="preserve">procesledelse, </w:t>
      </w:r>
      <w:r w:rsidR="00D1301A">
        <w:t xml:space="preserve">lede en intern audit </w:t>
      </w:r>
      <w:r w:rsidR="00AE73BF">
        <w:t>o.a.</w:t>
      </w:r>
      <w:r w:rsidR="00D1301A">
        <w:t xml:space="preserve"> Kompetencen dokumenteres ved at beskrive denne i </w:t>
      </w:r>
      <w:r w:rsidR="00AE73BF">
        <w:t>logbog</w:t>
      </w:r>
      <w:r w:rsidR="00D1301A">
        <w:t>/skema. Se bilag 2.</w:t>
      </w:r>
    </w:p>
    <w:p w14:paraId="379466C8" w14:textId="6CF8E9D7" w:rsidR="00D1301A" w:rsidRPr="00CF45CF" w:rsidRDefault="00D1301A" w:rsidP="00D51139">
      <w:pPr>
        <w:rPr>
          <w:b/>
        </w:rPr>
      </w:pPr>
      <w:r w:rsidRPr="00CF45CF">
        <w:rPr>
          <w:b/>
        </w:rPr>
        <w:t xml:space="preserve">10. </w:t>
      </w:r>
      <w:r w:rsidR="0038435A">
        <w:rPr>
          <w:b/>
        </w:rPr>
        <w:t>Klinisk træning/kontakt</w:t>
      </w:r>
    </w:p>
    <w:p w14:paraId="2B4F9381" w14:textId="52C5DD5D" w:rsidR="00D1301A" w:rsidRDefault="00D1301A" w:rsidP="00D51139">
      <w:r>
        <w:t>Denne kompetence kan opnås ved at dokumentere kliniske kontakter</w:t>
      </w:r>
      <w:r w:rsidR="0038435A">
        <w:t xml:space="preserve"> og/eller en form for klinisk træning</w:t>
      </w:r>
      <w:r>
        <w:t xml:space="preserve">. </w:t>
      </w:r>
      <w:r w:rsidR="0038435A">
        <w:t>Dialog og kontakt kan</w:t>
      </w:r>
      <w:r w:rsidR="00BB11CA">
        <w:t xml:space="preserve"> </w:t>
      </w:r>
      <w:r w:rsidR="0038435A">
        <w:t>indebære</w:t>
      </w:r>
      <w:r>
        <w:t xml:space="preserve"> infobreve, di</w:t>
      </w:r>
      <w:r w:rsidR="003A6C64">
        <w:t>rekte kontakt vedr. patienter</w:t>
      </w:r>
      <w:r>
        <w:t>, dialog med klinikere/afdelinger omkring</w:t>
      </w:r>
      <w:r w:rsidR="0038435A">
        <w:t xml:space="preserve"> metoder,</w:t>
      </w:r>
      <w:r>
        <w:t xml:space="preserve"> analyser o</w:t>
      </w:r>
      <w:r w:rsidR="00AE73BF">
        <w:t>g analysebehov o.a. Dokumenteres</w:t>
      </w:r>
      <w:r w:rsidR="003A6C64">
        <w:t xml:space="preserve"> og beskrives</w:t>
      </w:r>
      <w:r>
        <w:t xml:space="preserve"> i </w:t>
      </w:r>
      <w:r w:rsidR="00AE73BF">
        <w:t>logbog</w:t>
      </w:r>
      <w:r>
        <w:t xml:space="preserve">/skema. Se bilag 2. </w:t>
      </w:r>
    </w:p>
    <w:p w14:paraId="7386CF7D" w14:textId="494AB80D" w:rsidR="0038435A" w:rsidRDefault="0038435A" w:rsidP="0038435A">
      <w:r>
        <w:t>Kompetencen kan også opnås ved f.eks. at få en begrænset form for klinisk træning. Det kan feks være en uge sammen med reservelæger/intro-læger, ved at foretage lokale aftaler med kliniske afdelinger eller ambulatorier om ophold af kortere varighed dage/uge(r) e. lign. Dokumenteres og beskrives i logbog/skema. Se bilag 2.</w:t>
      </w:r>
    </w:p>
    <w:p w14:paraId="5283B858" w14:textId="4D9BF512" w:rsidR="0038435A" w:rsidRDefault="0038435A" w:rsidP="0038435A">
      <w:r>
        <w:t>Ovenstående vælges efter ønske og muligheder på den enkelte biokemiske afdeling.</w:t>
      </w:r>
    </w:p>
    <w:p w14:paraId="1A291516" w14:textId="77777777" w:rsidR="0038435A" w:rsidRDefault="0038435A" w:rsidP="00D51139"/>
    <w:p w14:paraId="78CEFBFF" w14:textId="6D85DFE2" w:rsidR="00D1301A" w:rsidRPr="00CF45CF" w:rsidRDefault="00D1301A" w:rsidP="00D51139">
      <w:pPr>
        <w:rPr>
          <w:b/>
        </w:rPr>
      </w:pPr>
      <w:r w:rsidRPr="00CF45CF">
        <w:rPr>
          <w:b/>
        </w:rPr>
        <w:t xml:space="preserve">11. </w:t>
      </w:r>
      <w:r w:rsidR="0038435A">
        <w:rPr>
          <w:b/>
        </w:rPr>
        <w:t>Videnskabelig præsentation</w:t>
      </w:r>
      <w:r w:rsidR="00BB11CA">
        <w:rPr>
          <w:b/>
        </w:rPr>
        <w:t xml:space="preserve"> </w:t>
      </w:r>
      <w:r w:rsidRPr="00CF45CF">
        <w:rPr>
          <w:b/>
        </w:rPr>
        <w:t>på en kongres eller konference.</w:t>
      </w:r>
    </w:p>
    <w:p w14:paraId="16717ED5" w14:textId="0F96E130" w:rsidR="00D1301A" w:rsidRDefault="00D1301A" w:rsidP="00D51139">
      <w:r>
        <w:t xml:space="preserve">Denne kompetence opnås </w:t>
      </w:r>
      <w:r w:rsidR="003460AF">
        <w:t>ved at foretage minimum é</w:t>
      </w:r>
      <w:r>
        <w:t>n videnskabelig præsentation på en kongres eller konference</w:t>
      </w:r>
      <w:r w:rsidR="00CF45CF">
        <w:t xml:space="preserve"> i uddannelsesforløbet</w:t>
      </w:r>
      <w:r>
        <w:t>.</w:t>
      </w:r>
      <w:r w:rsidR="00CF45CF">
        <w:t xml:space="preserve"> Dvs. dette skal finde sted imens man er indskrevet på specialistuddannelsen, og der kan derfor ikke meriteres præsentationer fra tidligere ansættelser.</w:t>
      </w:r>
      <w:r>
        <w:t xml:space="preserve"> </w:t>
      </w:r>
      <w:r w:rsidR="003460AF">
        <w:t>Dette skal være en poster eller mundtligt oplæg. Kompetencen kan dokumenteres ved deltagerbevis, kopi af program, hvor ens navn fremgår, meddelelse om accept af deltagelse fra kongres/konferenceledelse, eller tilsvarende dokumentation.</w:t>
      </w:r>
    </w:p>
    <w:p w14:paraId="284C6CA4" w14:textId="392C1AE5" w:rsidR="003460AF" w:rsidRPr="00CF45CF" w:rsidRDefault="003460AF" w:rsidP="00D51139">
      <w:pPr>
        <w:rPr>
          <w:b/>
        </w:rPr>
      </w:pPr>
      <w:r w:rsidRPr="00CF45CF">
        <w:rPr>
          <w:b/>
        </w:rPr>
        <w:t>12. Projektledelse</w:t>
      </w:r>
    </w:p>
    <w:p w14:paraId="6C10A186" w14:textId="05E45556" w:rsidR="003A6C64" w:rsidRDefault="003A6C64" w:rsidP="00D51139">
      <w:r>
        <w:t>Denne kompetence opnås ved at udføre et forsknings</w:t>
      </w:r>
      <w:r w:rsidR="0070058F">
        <w:t>-</w:t>
      </w:r>
      <w:r>
        <w:t xml:space="preserve"> eller udviklingsprojekt.</w:t>
      </w:r>
      <w:r w:rsidR="0070058F">
        <w:t xml:space="preserve"> Eksempler på sådanne projekter kan være opsæt af ny metode, ud</w:t>
      </w:r>
      <w:r w:rsidR="002F1B52">
        <w:t>vikling af svar-algoritme,</w:t>
      </w:r>
      <w:r w:rsidR="0070058F">
        <w:t xml:space="preserve"> </w:t>
      </w:r>
      <w:r w:rsidR="002F1B52">
        <w:t xml:space="preserve">og </w:t>
      </w:r>
      <w:r w:rsidR="0070058F">
        <w:t xml:space="preserve">specifikke forskningsprojekter. </w:t>
      </w:r>
      <w:r>
        <w:t xml:space="preserve"> </w:t>
      </w:r>
      <w:r w:rsidR="0083512F">
        <w:t xml:space="preserve">Dette beskrives og dokumenteres i logbog/skema. Se bilag 2. </w:t>
      </w:r>
    </w:p>
    <w:p w14:paraId="30E3694E" w14:textId="2DC02268" w:rsidR="003460AF" w:rsidRPr="00CF45CF" w:rsidRDefault="003460AF" w:rsidP="00D51139">
      <w:pPr>
        <w:rPr>
          <w:b/>
        </w:rPr>
      </w:pPr>
      <w:r w:rsidRPr="00CF45CF">
        <w:rPr>
          <w:b/>
        </w:rPr>
        <w:t>13. Videnskabelig publikation</w:t>
      </w:r>
    </w:p>
    <w:p w14:paraId="3EF4C9D8" w14:textId="5B07FED0" w:rsidR="0070058F" w:rsidRDefault="0070058F" w:rsidP="00D51139">
      <w:r>
        <w:t>Denne kompetence opnås ved at udgive</w:t>
      </w:r>
      <w:r w:rsidR="002F1B52">
        <w:t xml:space="preserve"> </w:t>
      </w:r>
      <w:r>
        <w:t xml:space="preserve">mindst én artikel i et internationalt, peer-reviewed tidsskrift. Publikationen(r) kan vedrøre alt inden for klinisk biokemi eller forskning. Kravet er, at artiklen(r) skal publiceres, mens specialistuddannelsen følges. </w:t>
      </w:r>
      <w:r w:rsidR="002470B1">
        <w:t>Dokumenteres ved selve publi</w:t>
      </w:r>
      <w:r w:rsidR="00BB11CA">
        <w:t>ka</w:t>
      </w:r>
      <w:r w:rsidR="002470B1">
        <w:t>tionen(r)</w:t>
      </w:r>
      <w:r w:rsidR="0038435A">
        <w:t xml:space="preserve"> eller PMBID/DOI</w:t>
      </w:r>
      <w:r w:rsidR="002470B1">
        <w:t>.</w:t>
      </w:r>
    </w:p>
    <w:p w14:paraId="17E611A5" w14:textId="4810B0BA" w:rsidR="003A6C64" w:rsidRPr="00CF45CF" w:rsidRDefault="003A6C64" w:rsidP="00D51139">
      <w:pPr>
        <w:rPr>
          <w:b/>
        </w:rPr>
      </w:pPr>
      <w:r w:rsidRPr="00CF45CF">
        <w:rPr>
          <w:b/>
        </w:rPr>
        <w:t>14. Case-relateret medicinsk evaluering af laboratorietests</w:t>
      </w:r>
    </w:p>
    <w:p w14:paraId="4358BC37" w14:textId="121C4161" w:rsidR="0070058F" w:rsidRDefault="009F0133" w:rsidP="00D51139">
      <w:r>
        <w:t xml:space="preserve">Denne kompetence opnås ved at gennemgå cases i forhold til laboratoriesvar. Dette kan f.eks., finde sted, ved atypiske prøvesvar, henvendelse fra klinikere, </w:t>
      </w:r>
      <w:r w:rsidR="002470B1">
        <w:t>ved utilsigtede hændelser oa. Kompetencen indbefatter, at man er involveret i en eller flere kliniske cases, hvor laboratoriesvar skal gennemgås og evalueres evt</w:t>
      </w:r>
      <w:r w:rsidR="00BB11CA">
        <w:t>.</w:t>
      </w:r>
      <w:r w:rsidR="002470B1">
        <w:t xml:space="preserve"> fejlsøges på metode, kontroller, matrice, præanalyse oa. Dokumenteres og beskrives i logbog/skema. Se bilag 2.</w:t>
      </w:r>
    </w:p>
    <w:p w14:paraId="78BDE6F4" w14:textId="76C205BB" w:rsidR="0083512F" w:rsidRPr="00CF45CF" w:rsidRDefault="0083512F" w:rsidP="00D51139">
      <w:pPr>
        <w:rPr>
          <w:b/>
        </w:rPr>
      </w:pPr>
      <w:r w:rsidRPr="00CF45CF">
        <w:rPr>
          <w:b/>
        </w:rPr>
        <w:t>1</w:t>
      </w:r>
      <w:r w:rsidR="0038435A">
        <w:rPr>
          <w:b/>
        </w:rPr>
        <w:t>5</w:t>
      </w:r>
      <w:r w:rsidRPr="00CF45CF">
        <w:rPr>
          <w:b/>
        </w:rPr>
        <w:t>. Erfaring med auditering</w:t>
      </w:r>
    </w:p>
    <w:p w14:paraId="039CAB46" w14:textId="33FA2B64" w:rsidR="002470B1" w:rsidRDefault="00D8460C" w:rsidP="00D51139">
      <w:r>
        <w:t xml:space="preserve">For at opnå denne kompetence skal man deltage aktivt i forbindelse med intern eller ekstern auditering. Det kan være ved selv at være intern auditør herunder planlægge og udføre audits, det kan være som ekstern auditør f.eks. som assessor for DANAK, men også eksterne auditørbesøg på andre afdelinger. Dokumenteres og beskrives i logbog/skema. Se bilag 2. </w:t>
      </w:r>
    </w:p>
    <w:p w14:paraId="5D0BBA4A" w14:textId="0C62D03F" w:rsidR="0083512F" w:rsidRPr="00CF45CF" w:rsidRDefault="0083512F" w:rsidP="00D51139">
      <w:pPr>
        <w:rPr>
          <w:b/>
        </w:rPr>
      </w:pPr>
      <w:r w:rsidRPr="00CF45CF">
        <w:rPr>
          <w:b/>
        </w:rPr>
        <w:t>1</w:t>
      </w:r>
      <w:r w:rsidR="0038435A">
        <w:rPr>
          <w:b/>
        </w:rPr>
        <w:t>6</w:t>
      </w:r>
      <w:r w:rsidRPr="00CF45CF">
        <w:rPr>
          <w:b/>
        </w:rPr>
        <w:t>. Referenceintervaller</w:t>
      </w:r>
    </w:p>
    <w:p w14:paraId="60EE7CB5" w14:textId="45DBB75C" w:rsidR="00D8460C" w:rsidRDefault="00334377" w:rsidP="00D51139">
      <w:r>
        <w:t>For at opnå denne kompetence, skal det dokumenteres, at man har forståelse for, hvordan et referenceinterval udarbejdes korrekt, hvordan der kan laveres transferens ved ny metode og hvordan man kan vurdere, om et referenceinterval er anvendeligt på en given population. Kompetencen skal følge CLSI guideli</w:t>
      </w:r>
      <w:r w:rsidR="00A05C56">
        <w:t>ne</w:t>
      </w:r>
      <w:r>
        <w:t xml:space="preserve"> C28-A3c. Kompetencen kan dokumenteres ved f.eks. et excel ark med beregninger, en publikation eller ved at beskrive, hvordan kompetencen er opnået i logbog/skema</w:t>
      </w:r>
      <w:r w:rsidR="00A05C56">
        <w:t>, eller henvis</w:t>
      </w:r>
      <w:r w:rsidR="0038435A">
        <w:t>n</w:t>
      </w:r>
      <w:r w:rsidR="00A05C56">
        <w:t>ing til en valideringsrapport hvor data er dokumenteret</w:t>
      </w:r>
      <w:r>
        <w:t xml:space="preserve">. Se bilag 2. </w:t>
      </w:r>
    </w:p>
    <w:p w14:paraId="46DAD9BB" w14:textId="19162049" w:rsidR="0083512F" w:rsidRPr="00CF45CF" w:rsidRDefault="0083512F" w:rsidP="00D51139">
      <w:pPr>
        <w:rPr>
          <w:b/>
        </w:rPr>
      </w:pPr>
      <w:r w:rsidRPr="00CF45CF">
        <w:rPr>
          <w:b/>
        </w:rPr>
        <w:t>1</w:t>
      </w:r>
      <w:r w:rsidR="0038435A">
        <w:rPr>
          <w:b/>
        </w:rPr>
        <w:t>7</w:t>
      </w:r>
      <w:r w:rsidRPr="00CF45CF">
        <w:rPr>
          <w:b/>
        </w:rPr>
        <w:t>. Økonomi</w:t>
      </w:r>
      <w:r w:rsidR="00A05C56">
        <w:rPr>
          <w:b/>
        </w:rPr>
        <w:t xml:space="preserve"> og ressourceforbrug</w:t>
      </w:r>
    </w:p>
    <w:p w14:paraId="5E16F9AD" w14:textId="4E6A684F" w:rsidR="00334377" w:rsidRDefault="00334377" w:rsidP="00D51139">
      <w:r>
        <w:lastRenderedPageBreak/>
        <w:t xml:space="preserve">For at opnå denne kompetence, skal det dokumenteres, at der er opnået erfaring med fastsættelse af analysepriser eller anden drift. Derudover bør der haves en generel forståelse for afdelingsøkonomi. </w:t>
      </w:r>
      <w:r w:rsidR="00CF45CF">
        <w:t>Der kan evt. vedlægges et eksempel på en pris-beregning eller tilsvarende som dokumentation. Alternativt kan k</w:t>
      </w:r>
      <w:r>
        <w:t>ompetencen beskrives og dokumenteres i logbog/skema. Se bilag 2.</w:t>
      </w:r>
    </w:p>
    <w:p w14:paraId="4C1279A5" w14:textId="00E15E86" w:rsidR="004B79AC" w:rsidRPr="00CF45CF" w:rsidRDefault="004B79AC" w:rsidP="00D51139">
      <w:pPr>
        <w:rPr>
          <w:b/>
        </w:rPr>
      </w:pPr>
      <w:r w:rsidRPr="00CF45CF">
        <w:rPr>
          <w:b/>
        </w:rPr>
        <w:t>1</w:t>
      </w:r>
      <w:r w:rsidR="0038435A">
        <w:rPr>
          <w:b/>
        </w:rPr>
        <w:t>8</w:t>
      </w:r>
      <w:r w:rsidRPr="00CF45CF">
        <w:rPr>
          <w:b/>
        </w:rPr>
        <w:t>. Afvigelser/UTH</w:t>
      </w:r>
    </w:p>
    <w:p w14:paraId="53BE4CA0" w14:textId="19977DA9" w:rsidR="00CF45CF" w:rsidRDefault="00CF45CF" w:rsidP="00D51139">
      <w:r>
        <w:t>Denne kompetence opnås ved at vise, at man kan oprette/behandle utilsigtede hændelser i henhold til de driftsopgaver man er ansvarlig for. Kompetencen beskrives og dokumenteres i logbog/skema. Se bilag 2.</w:t>
      </w:r>
    </w:p>
    <w:p w14:paraId="29EA1C99" w14:textId="60F3F187" w:rsidR="004B79AC" w:rsidRPr="00CF45CF" w:rsidRDefault="0038435A" w:rsidP="00D51139">
      <w:pPr>
        <w:rPr>
          <w:b/>
        </w:rPr>
      </w:pPr>
      <w:r>
        <w:rPr>
          <w:b/>
        </w:rPr>
        <w:t>19</w:t>
      </w:r>
      <w:r w:rsidR="004A46EE" w:rsidRPr="00CF45CF">
        <w:rPr>
          <w:b/>
        </w:rPr>
        <w:t xml:space="preserve">. </w:t>
      </w:r>
      <w:r w:rsidR="002470B1" w:rsidRPr="00CF45CF">
        <w:rPr>
          <w:b/>
        </w:rPr>
        <w:t>Professionalisme</w:t>
      </w:r>
      <w:r w:rsidR="004A46EE" w:rsidRPr="00CF45CF">
        <w:rPr>
          <w:b/>
        </w:rPr>
        <w:t xml:space="preserve"> og</w:t>
      </w:r>
      <w:r w:rsidR="002470B1" w:rsidRPr="00CF45CF">
        <w:rPr>
          <w:b/>
        </w:rPr>
        <w:t xml:space="preserve"> </w:t>
      </w:r>
      <w:r w:rsidR="00007D36" w:rsidRPr="00CF45CF">
        <w:rPr>
          <w:b/>
        </w:rPr>
        <w:t>”</w:t>
      </w:r>
      <w:r w:rsidR="002470B1" w:rsidRPr="00CF45CF">
        <w:rPr>
          <w:b/>
        </w:rPr>
        <w:t>soft skills</w:t>
      </w:r>
      <w:r w:rsidR="00007D36" w:rsidRPr="00CF45CF">
        <w:rPr>
          <w:b/>
        </w:rPr>
        <w:t>”</w:t>
      </w:r>
      <w:r w:rsidR="004A46EE" w:rsidRPr="00CF45CF">
        <w:rPr>
          <w:b/>
        </w:rPr>
        <w:t xml:space="preserve"> </w:t>
      </w:r>
      <w:r w:rsidR="002470B1" w:rsidRPr="00CF45CF">
        <w:rPr>
          <w:b/>
        </w:rPr>
        <w:t>(</w:t>
      </w:r>
      <w:r w:rsidR="004A46EE" w:rsidRPr="00CF45CF">
        <w:rPr>
          <w:b/>
        </w:rPr>
        <w:t>bløde værdier</w:t>
      </w:r>
      <w:r w:rsidR="002470B1" w:rsidRPr="00CF45CF">
        <w:rPr>
          <w:b/>
        </w:rPr>
        <w:t>)</w:t>
      </w:r>
    </w:p>
    <w:p w14:paraId="52050E30" w14:textId="7695B0DE" w:rsidR="00CF45CF" w:rsidRDefault="00CF45CF" w:rsidP="00D51139">
      <w:r>
        <w:t xml:space="preserve">Denne kompetence handler om, at man skal udvise professionel adfærd i sit daglige virke og at man skal være opmærksom på såkaldte bløde værdier. Dette kan være sociale forhold, generel adfærd, og opførsel. </w:t>
      </w:r>
      <w:r w:rsidR="00BB11CA">
        <w:t xml:space="preserve">”Soft skill” omhandler også </w:t>
      </w:r>
      <w:r w:rsidR="008A6EA2">
        <w:t xml:space="preserve">at have selv-erkendelse til at indse, hvornår man bør gå til en senior kollega eller anden faggruppe, at kunne bede om hjælp og råd, udvise professionel og etisk adfærd, og bruge sin professionelle viden og erfaring og hele tiden søge at udvide dette. </w:t>
      </w:r>
      <w:r>
        <w:t>Dette</w:t>
      </w:r>
      <w:r w:rsidR="00BB11CA">
        <w:t xml:space="preserve"> kan</w:t>
      </w:r>
      <w:r>
        <w:t xml:space="preserve"> vurderes ved en 360 graders evaluering, der foretages sammen med vejleder/nærmeste leder. </w:t>
      </w:r>
      <w:r w:rsidR="00BB11CA">
        <w:t xml:space="preserve">Eller det kan være opfyldt ved vejledningssamtaler og opfølgning på disse. </w:t>
      </w:r>
      <w:r>
        <w:t>Det skal beskrives og dokumenteres i logbog/skema, at en sådan evaluering eller tilsvarende har fundet sted. Se bilag 2.</w:t>
      </w:r>
    </w:p>
    <w:p w14:paraId="390240F0" w14:textId="77777777" w:rsidR="00AB7E84" w:rsidRDefault="00AB7E84" w:rsidP="00AB7E84"/>
    <w:p w14:paraId="67B3DF82" w14:textId="77777777" w:rsidR="00D51139" w:rsidRDefault="00D51139" w:rsidP="00CB23E0"/>
    <w:p w14:paraId="6D3B271E" w14:textId="77777777" w:rsidR="00D51139" w:rsidRDefault="00D51139" w:rsidP="00CB23E0"/>
    <w:p w14:paraId="018DA035" w14:textId="77777777" w:rsidR="00CB23E0" w:rsidRPr="006B67EE" w:rsidRDefault="00CB23E0"/>
    <w:sectPr w:rsidR="00CB23E0" w:rsidRPr="006B67EE">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4FD42" w14:textId="77777777" w:rsidR="00CF45CF" w:rsidRDefault="00CF45CF" w:rsidP="00CF45CF">
      <w:pPr>
        <w:spacing w:after="0" w:line="240" w:lineRule="auto"/>
      </w:pPr>
      <w:r>
        <w:separator/>
      </w:r>
    </w:p>
  </w:endnote>
  <w:endnote w:type="continuationSeparator" w:id="0">
    <w:p w14:paraId="2D55D913" w14:textId="77777777" w:rsidR="00CF45CF" w:rsidRDefault="00CF45CF" w:rsidP="00CF4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033687"/>
      <w:docPartObj>
        <w:docPartGallery w:val="Page Numbers (Bottom of Page)"/>
        <w:docPartUnique/>
      </w:docPartObj>
    </w:sdtPr>
    <w:sdtEndPr/>
    <w:sdtContent>
      <w:p w14:paraId="469B8D27" w14:textId="722F875F" w:rsidR="00CF45CF" w:rsidRDefault="00CF45CF">
        <w:pPr>
          <w:pStyle w:val="Sidefod"/>
          <w:jc w:val="right"/>
        </w:pPr>
        <w:r>
          <w:fldChar w:fldCharType="begin"/>
        </w:r>
        <w:r>
          <w:instrText>PAGE   \* MERGEFORMAT</w:instrText>
        </w:r>
        <w:r>
          <w:fldChar w:fldCharType="separate"/>
        </w:r>
        <w:r w:rsidR="0039728A">
          <w:rPr>
            <w:noProof/>
          </w:rPr>
          <w:t>2</w:t>
        </w:r>
        <w:r>
          <w:fldChar w:fldCharType="end"/>
        </w:r>
      </w:p>
    </w:sdtContent>
  </w:sdt>
  <w:p w14:paraId="4D1480C2" w14:textId="77777777" w:rsidR="00CF45CF" w:rsidRDefault="00CF45C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9CCBB" w14:textId="77777777" w:rsidR="00CF45CF" w:rsidRDefault="00CF45CF" w:rsidP="00CF45CF">
      <w:pPr>
        <w:spacing w:after="0" w:line="240" w:lineRule="auto"/>
      </w:pPr>
      <w:r>
        <w:separator/>
      </w:r>
    </w:p>
  </w:footnote>
  <w:footnote w:type="continuationSeparator" w:id="0">
    <w:p w14:paraId="0D07EE53" w14:textId="77777777" w:rsidR="00CF45CF" w:rsidRDefault="00CF45CF" w:rsidP="00CF4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41633"/>
    <w:multiLevelType w:val="hybridMultilevel"/>
    <w:tmpl w:val="F6500A1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DCF1B56"/>
    <w:multiLevelType w:val="hybridMultilevel"/>
    <w:tmpl w:val="A574EF9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7EE"/>
    <w:rsid w:val="000003E7"/>
    <w:rsid w:val="00000468"/>
    <w:rsid w:val="00001752"/>
    <w:rsid w:val="00007D36"/>
    <w:rsid w:val="00010625"/>
    <w:rsid w:val="000156B8"/>
    <w:rsid w:val="00017ACA"/>
    <w:rsid w:val="00026CE3"/>
    <w:rsid w:val="00030E88"/>
    <w:rsid w:val="000321A0"/>
    <w:rsid w:val="00035D2C"/>
    <w:rsid w:val="0004717B"/>
    <w:rsid w:val="00047C5A"/>
    <w:rsid w:val="00050557"/>
    <w:rsid w:val="00055A44"/>
    <w:rsid w:val="00066D5A"/>
    <w:rsid w:val="00072AAF"/>
    <w:rsid w:val="00080E52"/>
    <w:rsid w:val="00085EDB"/>
    <w:rsid w:val="00092A66"/>
    <w:rsid w:val="00094781"/>
    <w:rsid w:val="00096699"/>
    <w:rsid w:val="000B0E8A"/>
    <w:rsid w:val="000B31B6"/>
    <w:rsid w:val="000B4C73"/>
    <w:rsid w:val="000B6793"/>
    <w:rsid w:val="000C310C"/>
    <w:rsid w:val="000C4C7E"/>
    <w:rsid w:val="000D07AD"/>
    <w:rsid w:val="000D0FDE"/>
    <w:rsid w:val="000D74D2"/>
    <w:rsid w:val="000E0F85"/>
    <w:rsid w:val="000E7B97"/>
    <w:rsid w:val="0010533A"/>
    <w:rsid w:val="001058FB"/>
    <w:rsid w:val="00113A89"/>
    <w:rsid w:val="001142B9"/>
    <w:rsid w:val="0012161A"/>
    <w:rsid w:val="00121EFA"/>
    <w:rsid w:val="00121FDE"/>
    <w:rsid w:val="001251DB"/>
    <w:rsid w:val="001275AF"/>
    <w:rsid w:val="00137461"/>
    <w:rsid w:val="00141375"/>
    <w:rsid w:val="00152FC9"/>
    <w:rsid w:val="00155179"/>
    <w:rsid w:val="00157BC2"/>
    <w:rsid w:val="001816A4"/>
    <w:rsid w:val="001847AD"/>
    <w:rsid w:val="00184C3A"/>
    <w:rsid w:val="00187A0E"/>
    <w:rsid w:val="001A058A"/>
    <w:rsid w:val="001A1BB0"/>
    <w:rsid w:val="001C3901"/>
    <w:rsid w:val="001C5DFC"/>
    <w:rsid w:val="001C73FF"/>
    <w:rsid w:val="001D7C2D"/>
    <w:rsid w:val="001E7CF2"/>
    <w:rsid w:val="001F2185"/>
    <w:rsid w:val="001F4ED6"/>
    <w:rsid w:val="00200285"/>
    <w:rsid w:val="0020347A"/>
    <w:rsid w:val="00206CD6"/>
    <w:rsid w:val="00232FA4"/>
    <w:rsid w:val="0023777F"/>
    <w:rsid w:val="00245656"/>
    <w:rsid w:val="00246ABE"/>
    <w:rsid w:val="002470B1"/>
    <w:rsid w:val="00250BB1"/>
    <w:rsid w:val="00260D2E"/>
    <w:rsid w:val="00261FDC"/>
    <w:rsid w:val="0026470E"/>
    <w:rsid w:val="00273F41"/>
    <w:rsid w:val="00283BED"/>
    <w:rsid w:val="00285EBA"/>
    <w:rsid w:val="002905F8"/>
    <w:rsid w:val="00290A02"/>
    <w:rsid w:val="00295BEA"/>
    <w:rsid w:val="00295C05"/>
    <w:rsid w:val="002A0617"/>
    <w:rsid w:val="002A482F"/>
    <w:rsid w:val="002A562D"/>
    <w:rsid w:val="002A5B3D"/>
    <w:rsid w:val="002C000B"/>
    <w:rsid w:val="002D1874"/>
    <w:rsid w:val="002D1E32"/>
    <w:rsid w:val="002D4808"/>
    <w:rsid w:val="002D4BD5"/>
    <w:rsid w:val="002E43D9"/>
    <w:rsid w:val="002E78B5"/>
    <w:rsid w:val="002F1B52"/>
    <w:rsid w:val="002F272D"/>
    <w:rsid w:val="002F4E4F"/>
    <w:rsid w:val="002F57E3"/>
    <w:rsid w:val="002F760E"/>
    <w:rsid w:val="002F7CF0"/>
    <w:rsid w:val="00303943"/>
    <w:rsid w:val="0031582E"/>
    <w:rsid w:val="00317FE4"/>
    <w:rsid w:val="00325027"/>
    <w:rsid w:val="003273FD"/>
    <w:rsid w:val="003331D7"/>
    <w:rsid w:val="00334377"/>
    <w:rsid w:val="003348EB"/>
    <w:rsid w:val="00334DCF"/>
    <w:rsid w:val="003460AF"/>
    <w:rsid w:val="00346C53"/>
    <w:rsid w:val="00352063"/>
    <w:rsid w:val="00353F9A"/>
    <w:rsid w:val="00355DE1"/>
    <w:rsid w:val="003560DA"/>
    <w:rsid w:val="00356290"/>
    <w:rsid w:val="00364B93"/>
    <w:rsid w:val="00366FE8"/>
    <w:rsid w:val="003755DB"/>
    <w:rsid w:val="003756B6"/>
    <w:rsid w:val="00382ADD"/>
    <w:rsid w:val="0038435A"/>
    <w:rsid w:val="003869AE"/>
    <w:rsid w:val="00391DB3"/>
    <w:rsid w:val="00392B8A"/>
    <w:rsid w:val="0039554A"/>
    <w:rsid w:val="0039728A"/>
    <w:rsid w:val="003A18C1"/>
    <w:rsid w:val="003A6979"/>
    <w:rsid w:val="003A6C64"/>
    <w:rsid w:val="003B25C9"/>
    <w:rsid w:val="003C168A"/>
    <w:rsid w:val="003C2DF4"/>
    <w:rsid w:val="003C77BE"/>
    <w:rsid w:val="003C7ABC"/>
    <w:rsid w:val="003D3F1F"/>
    <w:rsid w:val="003D69C7"/>
    <w:rsid w:val="003E6C18"/>
    <w:rsid w:val="003F3DF8"/>
    <w:rsid w:val="00403752"/>
    <w:rsid w:val="004045D0"/>
    <w:rsid w:val="004057EE"/>
    <w:rsid w:val="004076DB"/>
    <w:rsid w:val="00416AA0"/>
    <w:rsid w:val="0043303E"/>
    <w:rsid w:val="0044197C"/>
    <w:rsid w:val="004422C8"/>
    <w:rsid w:val="004457F8"/>
    <w:rsid w:val="004600DB"/>
    <w:rsid w:val="004620DD"/>
    <w:rsid w:val="00462F20"/>
    <w:rsid w:val="004800E9"/>
    <w:rsid w:val="004A2970"/>
    <w:rsid w:val="004A46EE"/>
    <w:rsid w:val="004A61AE"/>
    <w:rsid w:val="004B0B95"/>
    <w:rsid w:val="004B2DB8"/>
    <w:rsid w:val="004B7218"/>
    <w:rsid w:val="004B79AC"/>
    <w:rsid w:val="004B7D8B"/>
    <w:rsid w:val="004C1B92"/>
    <w:rsid w:val="004C22FF"/>
    <w:rsid w:val="004C3F06"/>
    <w:rsid w:val="004D12B0"/>
    <w:rsid w:val="004D1907"/>
    <w:rsid w:val="004D2283"/>
    <w:rsid w:val="004D6F48"/>
    <w:rsid w:val="004E1444"/>
    <w:rsid w:val="004E1535"/>
    <w:rsid w:val="004E20C6"/>
    <w:rsid w:val="004F67C0"/>
    <w:rsid w:val="004F707E"/>
    <w:rsid w:val="004F7D42"/>
    <w:rsid w:val="00501E1C"/>
    <w:rsid w:val="00503CD6"/>
    <w:rsid w:val="005043C1"/>
    <w:rsid w:val="005120DA"/>
    <w:rsid w:val="00514257"/>
    <w:rsid w:val="00516AA0"/>
    <w:rsid w:val="0052402A"/>
    <w:rsid w:val="00537A63"/>
    <w:rsid w:val="00537EC8"/>
    <w:rsid w:val="0054036B"/>
    <w:rsid w:val="00540FB9"/>
    <w:rsid w:val="0054508B"/>
    <w:rsid w:val="00556F8B"/>
    <w:rsid w:val="0056734C"/>
    <w:rsid w:val="00567CF2"/>
    <w:rsid w:val="00570434"/>
    <w:rsid w:val="00570DE5"/>
    <w:rsid w:val="00571E0E"/>
    <w:rsid w:val="00572C22"/>
    <w:rsid w:val="005842D3"/>
    <w:rsid w:val="0058484E"/>
    <w:rsid w:val="00585589"/>
    <w:rsid w:val="00585B5A"/>
    <w:rsid w:val="00586976"/>
    <w:rsid w:val="00592025"/>
    <w:rsid w:val="005A13CB"/>
    <w:rsid w:val="005A704B"/>
    <w:rsid w:val="005C4E29"/>
    <w:rsid w:val="005D143E"/>
    <w:rsid w:val="005D1EEC"/>
    <w:rsid w:val="005E69BA"/>
    <w:rsid w:val="005F0F80"/>
    <w:rsid w:val="005F456E"/>
    <w:rsid w:val="005F5A70"/>
    <w:rsid w:val="005F7BF7"/>
    <w:rsid w:val="006022E0"/>
    <w:rsid w:val="006040C2"/>
    <w:rsid w:val="006107C1"/>
    <w:rsid w:val="006173E0"/>
    <w:rsid w:val="0062426C"/>
    <w:rsid w:val="00627586"/>
    <w:rsid w:val="0063511E"/>
    <w:rsid w:val="00641818"/>
    <w:rsid w:val="00642FA5"/>
    <w:rsid w:val="006453C5"/>
    <w:rsid w:val="00651728"/>
    <w:rsid w:val="0066406F"/>
    <w:rsid w:val="00664666"/>
    <w:rsid w:val="00665ABB"/>
    <w:rsid w:val="00671F6E"/>
    <w:rsid w:val="00677F33"/>
    <w:rsid w:val="006813EE"/>
    <w:rsid w:val="006820D5"/>
    <w:rsid w:val="0068660B"/>
    <w:rsid w:val="00686939"/>
    <w:rsid w:val="00691E76"/>
    <w:rsid w:val="00696730"/>
    <w:rsid w:val="006A72E3"/>
    <w:rsid w:val="006B32F2"/>
    <w:rsid w:val="006B5101"/>
    <w:rsid w:val="006B67EE"/>
    <w:rsid w:val="006B7B11"/>
    <w:rsid w:val="006C08F4"/>
    <w:rsid w:val="006C12E7"/>
    <w:rsid w:val="006C2165"/>
    <w:rsid w:val="006C2790"/>
    <w:rsid w:val="006C2ABF"/>
    <w:rsid w:val="006C3257"/>
    <w:rsid w:val="006C73F1"/>
    <w:rsid w:val="006D03FD"/>
    <w:rsid w:val="006D4BD7"/>
    <w:rsid w:val="006D6DC2"/>
    <w:rsid w:val="006E1FAA"/>
    <w:rsid w:val="006E6861"/>
    <w:rsid w:val="0070058F"/>
    <w:rsid w:val="007139E3"/>
    <w:rsid w:val="00716BDB"/>
    <w:rsid w:val="00722A68"/>
    <w:rsid w:val="00723FAC"/>
    <w:rsid w:val="00724B5A"/>
    <w:rsid w:val="00724E22"/>
    <w:rsid w:val="007258F7"/>
    <w:rsid w:val="00725EC4"/>
    <w:rsid w:val="00726D9F"/>
    <w:rsid w:val="00730F35"/>
    <w:rsid w:val="0074232C"/>
    <w:rsid w:val="00743F22"/>
    <w:rsid w:val="007444B3"/>
    <w:rsid w:val="00744D91"/>
    <w:rsid w:val="00745947"/>
    <w:rsid w:val="00745CFD"/>
    <w:rsid w:val="00750BA8"/>
    <w:rsid w:val="00752B76"/>
    <w:rsid w:val="00756F8C"/>
    <w:rsid w:val="00761523"/>
    <w:rsid w:val="00763FC7"/>
    <w:rsid w:val="00773FDB"/>
    <w:rsid w:val="00796018"/>
    <w:rsid w:val="00796254"/>
    <w:rsid w:val="007965D1"/>
    <w:rsid w:val="0079672A"/>
    <w:rsid w:val="00796ED8"/>
    <w:rsid w:val="00797601"/>
    <w:rsid w:val="007A4ADA"/>
    <w:rsid w:val="007A4E74"/>
    <w:rsid w:val="007A51B2"/>
    <w:rsid w:val="007B1281"/>
    <w:rsid w:val="007B4028"/>
    <w:rsid w:val="007B4494"/>
    <w:rsid w:val="007B7451"/>
    <w:rsid w:val="007C1538"/>
    <w:rsid w:val="007C366D"/>
    <w:rsid w:val="007C7443"/>
    <w:rsid w:val="007D0699"/>
    <w:rsid w:val="007D4433"/>
    <w:rsid w:val="007D793D"/>
    <w:rsid w:val="007E26EC"/>
    <w:rsid w:val="007F19FB"/>
    <w:rsid w:val="007F7006"/>
    <w:rsid w:val="008045DF"/>
    <w:rsid w:val="00805DC8"/>
    <w:rsid w:val="00811002"/>
    <w:rsid w:val="00814985"/>
    <w:rsid w:val="00820D75"/>
    <w:rsid w:val="00823D8A"/>
    <w:rsid w:val="0082576D"/>
    <w:rsid w:val="00827807"/>
    <w:rsid w:val="00827FDF"/>
    <w:rsid w:val="00833F75"/>
    <w:rsid w:val="0083512F"/>
    <w:rsid w:val="00843376"/>
    <w:rsid w:val="00851253"/>
    <w:rsid w:val="00855423"/>
    <w:rsid w:val="0086447B"/>
    <w:rsid w:val="00865884"/>
    <w:rsid w:val="008763B3"/>
    <w:rsid w:val="0087641B"/>
    <w:rsid w:val="008852B3"/>
    <w:rsid w:val="008913C1"/>
    <w:rsid w:val="00894150"/>
    <w:rsid w:val="008A6EA2"/>
    <w:rsid w:val="008B0E5B"/>
    <w:rsid w:val="008B2553"/>
    <w:rsid w:val="008C0B30"/>
    <w:rsid w:val="008C5D5D"/>
    <w:rsid w:val="008D611E"/>
    <w:rsid w:val="008E1DE9"/>
    <w:rsid w:val="008E4B6B"/>
    <w:rsid w:val="008E4EE7"/>
    <w:rsid w:val="008E56EA"/>
    <w:rsid w:val="008F37DE"/>
    <w:rsid w:val="008F56BB"/>
    <w:rsid w:val="009017B9"/>
    <w:rsid w:val="00904046"/>
    <w:rsid w:val="00913A44"/>
    <w:rsid w:val="00921917"/>
    <w:rsid w:val="009246D8"/>
    <w:rsid w:val="009315AF"/>
    <w:rsid w:val="00936322"/>
    <w:rsid w:val="00943B5F"/>
    <w:rsid w:val="00956974"/>
    <w:rsid w:val="00960A56"/>
    <w:rsid w:val="009640B8"/>
    <w:rsid w:val="009641DC"/>
    <w:rsid w:val="0096422A"/>
    <w:rsid w:val="0097087D"/>
    <w:rsid w:val="00982301"/>
    <w:rsid w:val="0099248D"/>
    <w:rsid w:val="009A038F"/>
    <w:rsid w:val="009A1EF9"/>
    <w:rsid w:val="009A333D"/>
    <w:rsid w:val="009A3CC6"/>
    <w:rsid w:val="009A52DB"/>
    <w:rsid w:val="009B0C2E"/>
    <w:rsid w:val="009C43F8"/>
    <w:rsid w:val="009D206A"/>
    <w:rsid w:val="009E2ED1"/>
    <w:rsid w:val="009E4E4C"/>
    <w:rsid w:val="009E7502"/>
    <w:rsid w:val="009F0133"/>
    <w:rsid w:val="009F02EC"/>
    <w:rsid w:val="00A00525"/>
    <w:rsid w:val="00A045A8"/>
    <w:rsid w:val="00A04E02"/>
    <w:rsid w:val="00A05C56"/>
    <w:rsid w:val="00A20465"/>
    <w:rsid w:val="00A348FA"/>
    <w:rsid w:val="00A3594E"/>
    <w:rsid w:val="00A3651D"/>
    <w:rsid w:val="00A373CE"/>
    <w:rsid w:val="00A42800"/>
    <w:rsid w:val="00A45C0F"/>
    <w:rsid w:val="00A4728F"/>
    <w:rsid w:val="00A50CA9"/>
    <w:rsid w:val="00A520A1"/>
    <w:rsid w:val="00A5467B"/>
    <w:rsid w:val="00A61FB9"/>
    <w:rsid w:val="00A620C3"/>
    <w:rsid w:val="00A75FEA"/>
    <w:rsid w:val="00A76B97"/>
    <w:rsid w:val="00A8536F"/>
    <w:rsid w:val="00A87860"/>
    <w:rsid w:val="00A87FD7"/>
    <w:rsid w:val="00A91F72"/>
    <w:rsid w:val="00A92568"/>
    <w:rsid w:val="00A93774"/>
    <w:rsid w:val="00A9656D"/>
    <w:rsid w:val="00AA31E7"/>
    <w:rsid w:val="00AA3821"/>
    <w:rsid w:val="00AA5C83"/>
    <w:rsid w:val="00AA5E8B"/>
    <w:rsid w:val="00AA75EF"/>
    <w:rsid w:val="00AB7E84"/>
    <w:rsid w:val="00AC5CC4"/>
    <w:rsid w:val="00AE2995"/>
    <w:rsid w:val="00AE3576"/>
    <w:rsid w:val="00AE4006"/>
    <w:rsid w:val="00AE73BF"/>
    <w:rsid w:val="00AF47DC"/>
    <w:rsid w:val="00B01B83"/>
    <w:rsid w:val="00B0398C"/>
    <w:rsid w:val="00B03BF0"/>
    <w:rsid w:val="00B21C94"/>
    <w:rsid w:val="00B25A18"/>
    <w:rsid w:val="00B34814"/>
    <w:rsid w:val="00B37563"/>
    <w:rsid w:val="00B40BBC"/>
    <w:rsid w:val="00B428EB"/>
    <w:rsid w:val="00B53AFF"/>
    <w:rsid w:val="00B67AC6"/>
    <w:rsid w:val="00B728DD"/>
    <w:rsid w:val="00B72B94"/>
    <w:rsid w:val="00B823B5"/>
    <w:rsid w:val="00B8341A"/>
    <w:rsid w:val="00B90959"/>
    <w:rsid w:val="00B95728"/>
    <w:rsid w:val="00B97A3F"/>
    <w:rsid w:val="00BA297D"/>
    <w:rsid w:val="00BA551D"/>
    <w:rsid w:val="00BA674D"/>
    <w:rsid w:val="00BB11CA"/>
    <w:rsid w:val="00BB5295"/>
    <w:rsid w:val="00BC4858"/>
    <w:rsid w:val="00BC7AD5"/>
    <w:rsid w:val="00BD4821"/>
    <w:rsid w:val="00BD5122"/>
    <w:rsid w:val="00BF0A4D"/>
    <w:rsid w:val="00BF2047"/>
    <w:rsid w:val="00BF2D7E"/>
    <w:rsid w:val="00C0005E"/>
    <w:rsid w:val="00C00B57"/>
    <w:rsid w:val="00C020FE"/>
    <w:rsid w:val="00C04CC1"/>
    <w:rsid w:val="00C055B5"/>
    <w:rsid w:val="00C06E88"/>
    <w:rsid w:val="00C114C6"/>
    <w:rsid w:val="00C1184E"/>
    <w:rsid w:val="00C131E8"/>
    <w:rsid w:val="00C1499D"/>
    <w:rsid w:val="00C17C13"/>
    <w:rsid w:val="00C229CA"/>
    <w:rsid w:val="00C24608"/>
    <w:rsid w:val="00C26A63"/>
    <w:rsid w:val="00C2755C"/>
    <w:rsid w:val="00C344C1"/>
    <w:rsid w:val="00C40276"/>
    <w:rsid w:val="00C46678"/>
    <w:rsid w:val="00C46CC0"/>
    <w:rsid w:val="00C47B34"/>
    <w:rsid w:val="00C6123E"/>
    <w:rsid w:val="00C6146F"/>
    <w:rsid w:val="00C6315D"/>
    <w:rsid w:val="00C6475B"/>
    <w:rsid w:val="00C66E5C"/>
    <w:rsid w:val="00C7226F"/>
    <w:rsid w:val="00C73424"/>
    <w:rsid w:val="00C7470A"/>
    <w:rsid w:val="00C807B6"/>
    <w:rsid w:val="00C81EE9"/>
    <w:rsid w:val="00C91F03"/>
    <w:rsid w:val="00C93C93"/>
    <w:rsid w:val="00C93F1F"/>
    <w:rsid w:val="00C94558"/>
    <w:rsid w:val="00C96AD5"/>
    <w:rsid w:val="00C97599"/>
    <w:rsid w:val="00CA5243"/>
    <w:rsid w:val="00CA66A4"/>
    <w:rsid w:val="00CB2021"/>
    <w:rsid w:val="00CB23E0"/>
    <w:rsid w:val="00CC2584"/>
    <w:rsid w:val="00CD20EA"/>
    <w:rsid w:val="00CD616D"/>
    <w:rsid w:val="00CE14E9"/>
    <w:rsid w:val="00CF020E"/>
    <w:rsid w:val="00CF45CF"/>
    <w:rsid w:val="00D1301A"/>
    <w:rsid w:val="00D1771C"/>
    <w:rsid w:val="00D178CE"/>
    <w:rsid w:val="00D20E6A"/>
    <w:rsid w:val="00D25464"/>
    <w:rsid w:val="00D40479"/>
    <w:rsid w:val="00D502C7"/>
    <w:rsid w:val="00D51139"/>
    <w:rsid w:val="00D5393C"/>
    <w:rsid w:val="00D55E57"/>
    <w:rsid w:val="00D65A29"/>
    <w:rsid w:val="00D70B1E"/>
    <w:rsid w:val="00D733A9"/>
    <w:rsid w:val="00D80E41"/>
    <w:rsid w:val="00D8257B"/>
    <w:rsid w:val="00D8460C"/>
    <w:rsid w:val="00D91749"/>
    <w:rsid w:val="00DA3E61"/>
    <w:rsid w:val="00DC270F"/>
    <w:rsid w:val="00DD24F1"/>
    <w:rsid w:val="00DE5E9C"/>
    <w:rsid w:val="00DF3134"/>
    <w:rsid w:val="00DF460F"/>
    <w:rsid w:val="00E02F9C"/>
    <w:rsid w:val="00E0776A"/>
    <w:rsid w:val="00E11F87"/>
    <w:rsid w:val="00E12477"/>
    <w:rsid w:val="00E16E70"/>
    <w:rsid w:val="00E17659"/>
    <w:rsid w:val="00E179D3"/>
    <w:rsid w:val="00E26274"/>
    <w:rsid w:val="00E30ED5"/>
    <w:rsid w:val="00E35FBB"/>
    <w:rsid w:val="00E4492D"/>
    <w:rsid w:val="00E45C4F"/>
    <w:rsid w:val="00E53EA0"/>
    <w:rsid w:val="00E55632"/>
    <w:rsid w:val="00E56583"/>
    <w:rsid w:val="00E634B0"/>
    <w:rsid w:val="00E63ACC"/>
    <w:rsid w:val="00E66D82"/>
    <w:rsid w:val="00E8137E"/>
    <w:rsid w:val="00E81C7A"/>
    <w:rsid w:val="00E904C6"/>
    <w:rsid w:val="00E92669"/>
    <w:rsid w:val="00E93777"/>
    <w:rsid w:val="00E96534"/>
    <w:rsid w:val="00EB08CB"/>
    <w:rsid w:val="00EB4624"/>
    <w:rsid w:val="00EE4403"/>
    <w:rsid w:val="00EE745F"/>
    <w:rsid w:val="00EF2B7A"/>
    <w:rsid w:val="00EF33BD"/>
    <w:rsid w:val="00F0343F"/>
    <w:rsid w:val="00F05C92"/>
    <w:rsid w:val="00F0676A"/>
    <w:rsid w:val="00F17E8E"/>
    <w:rsid w:val="00F2089E"/>
    <w:rsid w:val="00F32DE7"/>
    <w:rsid w:val="00F34EF3"/>
    <w:rsid w:val="00F410DD"/>
    <w:rsid w:val="00F41301"/>
    <w:rsid w:val="00F41FDE"/>
    <w:rsid w:val="00F43BAF"/>
    <w:rsid w:val="00F510B5"/>
    <w:rsid w:val="00F644CA"/>
    <w:rsid w:val="00F663F5"/>
    <w:rsid w:val="00F66527"/>
    <w:rsid w:val="00F82F75"/>
    <w:rsid w:val="00F83B46"/>
    <w:rsid w:val="00F8623F"/>
    <w:rsid w:val="00F90AC9"/>
    <w:rsid w:val="00F93F72"/>
    <w:rsid w:val="00FA1004"/>
    <w:rsid w:val="00FB1DF0"/>
    <w:rsid w:val="00FB737E"/>
    <w:rsid w:val="00FB778D"/>
    <w:rsid w:val="00FC1F89"/>
    <w:rsid w:val="00FC39AE"/>
    <w:rsid w:val="00FC6771"/>
    <w:rsid w:val="00FD1445"/>
    <w:rsid w:val="00FD2B30"/>
    <w:rsid w:val="00FD4FB3"/>
    <w:rsid w:val="00FE0267"/>
    <w:rsid w:val="00FE1C50"/>
    <w:rsid w:val="00FE30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0690"/>
  <w15:chartTrackingRefBased/>
  <w15:docId w15:val="{DB514C54-4B89-4E1C-AFFF-798692F9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6B6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6B67EE"/>
    <w:rPr>
      <w:sz w:val="16"/>
      <w:szCs w:val="16"/>
    </w:rPr>
  </w:style>
  <w:style w:type="paragraph" w:styleId="Kommentartekst">
    <w:name w:val="annotation text"/>
    <w:basedOn w:val="Normal"/>
    <w:link w:val="KommentartekstTegn"/>
    <w:uiPriority w:val="99"/>
    <w:semiHidden/>
    <w:unhideWhenUsed/>
    <w:rsid w:val="006B67E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B67EE"/>
    <w:rPr>
      <w:sz w:val="20"/>
      <w:szCs w:val="20"/>
    </w:rPr>
  </w:style>
  <w:style w:type="paragraph" w:styleId="Kommentaremne">
    <w:name w:val="annotation subject"/>
    <w:basedOn w:val="Kommentartekst"/>
    <w:next w:val="Kommentartekst"/>
    <w:link w:val="KommentaremneTegn"/>
    <w:uiPriority w:val="99"/>
    <w:semiHidden/>
    <w:unhideWhenUsed/>
    <w:rsid w:val="006B67EE"/>
    <w:rPr>
      <w:b/>
      <w:bCs/>
    </w:rPr>
  </w:style>
  <w:style w:type="character" w:customStyle="1" w:styleId="KommentaremneTegn">
    <w:name w:val="Kommentaremne Tegn"/>
    <w:basedOn w:val="KommentartekstTegn"/>
    <w:link w:val="Kommentaremne"/>
    <w:uiPriority w:val="99"/>
    <w:semiHidden/>
    <w:rsid w:val="006B67EE"/>
    <w:rPr>
      <w:b/>
      <w:bCs/>
      <w:sz w:val="20"/>
      <w:szCs w:val="20"/>
    </w:rPr>
  </w:style>
  <w:style w:type="paragraph" w:styleId="Markeringsbobletekst">
    <w:name w:val="Balloon Text"/>
    <w:basedOn w:val="Normal"/>
    <w:link w:val="MarkeringsbobletekstTegn"/>
    <w:uiPriority w:val="99"/>
    <w:semiHidden/>
    <w:unhideWhenUsed/>
    <w:rsid w:val="006B67E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67EE"/>
    <w:rPr>
      <w:rFonts w:ascii="Segoe UI" w:hAnsi="Segoe UI" w:cs="Segoe UI"/>
      <w:sz w:val="18"/>
      <w:szCs w:val="18"/>
    </w:rPr>
  </w:style>
  <w:style w:type="paragraph" w:styleId="Listeafsnit">
    <w:name w:val="List Paragraph"/>
    <w:basedOn w:val="Normal"/>
    <w:uiPriority w:val="34"/>
    <w:qFormat/>
    <w:rsid w:val="00CB23E0"/>
    <w:pPr>
      <w:ind w:left="720"/>
      <w:contextualSpacing/>
    </w:pPr>
  </w:style>
  <w:style w:type="character" w:styleId="Hyperlink">
    <w:name w:val="Hyperlink"/>
    <w:basedOn w:val="Standardskrifttypeiafsnit"/>
    <w:uiPriority w:val="99"/>
    <w:semiHidden/>
    <w:unhideWhenUsed/>
    <w:rsid w:val="003B25C9"/>
    <w:rPr>
      <w:color w:val="0000FF"/>
      <w:u w:val="single"/>
    </w:rPr>
  </w:style>
  <w:style w:type="paragraph" w:styleId="Sidehoved">
    <w:name w:val="header"/>
    <w:basedOn w:val="Normal"/>
    <w:link w:val="SidehovedTegn"/>
    <w:uiPriority w:val="99"/>
    <w:unhideWhenUsed/>
    <w:rsid w:val="00CF45C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F45CF"/>
  </w:style>
  <w:style w:type="paragraph" w:styleId="Sidefod">
    <w:name w:val="footer"/>
    <w:basedOn w:val="Normal"/>
    <w:link w:val="SidefodTegn"/>
    <w:uiPriority w:val="99"/>
    <w:unhideWhenUsed/>
    <w:rsid w:val="00CF45C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F4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kb.dk/faglige-rapport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4F47E-E7E9-44C0-A095-2711F7B40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8985</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Helskov Jørgensen</dc:creator>
  <cp:keywords/>
  <dc:description/>
  <cp:lastModifiedBy>Elke Hoffmann-Lücke</cp:lastModifiedBy>
  <cp:revision>2</cp:revision>
  <dcterms:created xsi:type="dcterms:W3CDTF">2022-02-21T08:43:00Z</dcterms:created>
  <dcterms:modified xsi:type="dcterms:W3CDTF">2022-02-21T08:43:00Z</dcterms:modified>
</cp:coreProperties>
</file>